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87" w:rsidRPr="004A0487" w:rsidRDefault="004A0487" w:rsidP="004A0487">
      <w:pPr>
        <w:pStyle w:val="Default"/>
        <w:pBdr>
          <w:bottom w:val="single" w:sz="12" w:space="1" w:color="00B0F0"/>
        </w:pBdr>
        <w:jc w:val="right"/>
        <w:rPr>
          <w:color w:val="F79646" w:themeColor="accent6"/>
        </w:rPr>
      </w:pPr>
      <w:r w:rsidRPr="004A0487">
        <w:rPr>
          <w:rFonts w:ascii="Calibri" w:hAnsi="Calibri" w:cs="Calibri"/>
          <w:b/>
          <w:bCs/>
          <w:i/>
          <w:iCs/>
          <w:color w:val="F79646" w:themeColor="accent6"/>
          <w:sz w:val="23"/>
          <w:szCs w:val="23"/>
        </w:rPr>
        <w:t>Nota de Prensa</w:t>
      </w:r>
    </w:p>
    <w:p w:rsidR="004A0487" w:rsidRDefault="004A0487" w:rsidP="004A0487">
      <w:pPr>
        <w:pStyle w:val="Default"/>
      </w:pPr>
    </w:p>
    <w:p w:rsidR="004A0487" w:rsidRDefault="004A0487" w:rsidP="004A0487">
      <w:pPr>
        <w:pStyle w:val="Default"/>
      </w:pPr>
    </w:p>
    <w:p w:rsidR="004A0487" w:rsidRPr="009C2FD4" w:rsidRDefault="004A0487" w:rsidP="004A0487">
      <w:pPr>
        <w:pStyle w:val="Default"/>
        <w:rPr>
          <w:rFonts w:asciiTheme="minorHAnsi" w:hAnsiTheme="minorHAnsi"/>
          <w:sz w:val="20"/>
          <w:szCs w:val="20"/>
        </w:rPr>
      </w:pPr>
    </w:p>
    <w:p w:rsidR="004A0487" w:rsidRPr="009C2FD4" w:rsidRDefault="004A0487" w:rsidP="004A0487">
      <w:pPr>
        <w:pStyle w:val="Default"/>
        <w:jc w:val="right"/>
        <w:rPr>
          <w:rFonts w:asciiTheme="minorHAnsi" w:hAnsiTheme="minorHAnsi"/>
          <w:sz w:val="20"/>
          <w:szCs w:val="20"/>
        </w:rPr>
      </w:pPr>
    </w:p>
    <w:p w:rsidR="00A751C5" w:rsidRPr="009178A6" w:rsidRDefault="00A751C5" w:rsidP="00A751C5">
      <w:pPr>
        <w:ind w:left="0"/>
        <w:jc w:val="center"/>
        <w:rPr>
          <w:rFonts w:asciiTheme="minorHAnsi" w:hAnsiTheme="minorHAnsi"/>
          <w:b/>
          <w:sz w:val="24"/>
          <w:szCs w:val="24"/>
        </w:rPr>
      </w:pPr>
      <w:r w:rsidRPr="009178A6">
        <w:rPr>
          <w:rFonts w:asciiTheme="minorHAnsi" w:hAnsiTheme="minorHAnsi"/>
          <w:b/>
          <w:sz w:val="24"/>
          <w:szCs w:val="24"/>
        </w:rPr>
        <w:t xml:space="preserve">Índices de Obra Pública </w:t>
      </w:r>
    </w:p>
    <w:p w:rsidR="00395689" w:rsidRPr="009178A6" w:rsidRDefault="00A95CFF" w:rsidP="00395689">
      <w:pPr>
        <w:ind w:left="0"/>
        <w:jc w:val="center"/>
        <w:rPr>
          <w:rFonts w:asciiTheme="minorHAnsi" w:hAnsiTheme="minorHAnsi"/>
          <w:b/>
          <w:sz w:val="24"/>
          <w:szCs w:val="24"/>
        </w:rPr>
      </w:pPr>
      <w:r>
        <w:rPr>
          <w:rFonts w:asciiTheme="minorHAnsi" w:hAnsiTheme="minorHAnsi"/>
          <w:b/>
          <w:sz w:val="24"/>
          <w:szCs w:val="24"/>
        </w:rPr>
        <w:t>Jul</w:t>
      </w:r>
      <w:r w:rsidR="00A96067">
        <w:rPr>
          <w:rFonts w:asciiTheme="minorHAnsi" w:hAnsiTheme="minorHAnsi"/>
          <w:b/>
          <w:sz w:val="24"/>
          <w:szCs w:val="24"/>
        </w:rPr>
        <w:t>io</w:t>
      </w:r>
      <w:r w:rsidR="00D35052">
        <w:rPr>
          <w:rFonts w:asciiTheme="minorHAnsi" w:hAnsiTheme="minorHAnsi"/>
          <w:b/>
          <w:sz w:val="24"/>
          <w:szCs w:val="24"/>
        </w:rPr>
        <w:t xml:space="preserve"> </w:t>
      </w:r>
      <w:r w:rsidR="00894840">
        <w:rPr>
          <w:rFonts w:asciiTheme="minorHAnsi" w:hAnsiTheme="minorHAnsi"/>
          <w:b/>
          <w:sz w:val="24"/>
          <w:szCs w:val="24"/>
        </w:rPr>
        <w:t>2018</w:t>
      </w:r>
    </w:p>
    <w:p w:rsidR="00395689" w:rsidRPr="009178A6" w:rsidRDefault="00395689" w:rsidP="00395689">
      <w:pPr>
        <w:ind w:left="0"/>
        <w:jc w:val="center"/>
        <w:rPr>
          <w:rFonts w:asciiTheme="minorHAnsi" w:hAnsiTheme="minorHAnsi"/>
          <w:b/>
          <w:sz w:val="24"/>
          <w:szCs w:val="24"/>
        </w:rPr>
      </w:pPr>
    </w:p>
    <w:p w:rsidR="001E6E59" w:rsidRPr="009178A6" w:rsidRDefault="001E6E59" w:rsidP="009178A6">
      <w:pPr>
        <w:ind w:left="0"/>
        <w:jc w:val="both"/>
        <w:rPr>
          <w:rFonts w:asciiTheme="minorHAnsi" w:hAnsiTheme="minorHAnsi"/>
        </w:rPr>
      </w:pPr>
    </w:p>
    <w:p w:rsidR="007317A4" w:rsidRDefault="002537D0" w:rsidP="007317A4">
      <w:pPr>
        <w:ind w:left="0"/>
        <w:jc w:val="both"/>
        <w:rPr>
          <w:rFonts w:asciiTheme="minorHAnsi" w:hAnsiTheme="minorHAnsi"/>
        </w:rPr>
      </w:pPr>
      <w:r w:rsidRPr="009178A6">
        <w:rPr>
          <w:rFonts w:asciiTheme="minorHAnsi" w:hAnsiTheme="minorHAnsi"/>
        </w:rPr>
        <w:t xml:space="preserve">La variación de costos de los factores para la </w:t>
      </w:r>
      <w:proofErr w:type="spellStart"/>
      <w:r w:rsidRPr="009178A6">
        <w:rPr>
          <w:rFonts w:asciiTheme="minorHAnsi" w:hAnsiTheme="minorHAnsi"/>
        </w:rPr>
        <w:t>redeterminación</w:t>
      </w:r>
      <w:proofErr w:type="spellEnd"/>
      <w:r w:rsidRPr="009178A6">
        <w:rPr>
          <w:rFonts w:asciiTheme="minorHAnsi" w:hAnsiTheme="minorHAnsi"/>
        </w:rPr>
        <w:t xml:space="preserve"> de precios de </w:t>
      </w:r>
      <w:r w:rsidR="00E936F8" w:rsidRPr="009178A6">
        <w:rPr>
          <w:rFonts w:asciiTheme="minorHAnsi" w:hAnsiTheme="minorHAnsi"/>
        </w:rPr>
        <w:t xml:space="preserve">obra pública </w:t>
      </w:r>
      <w:r w:rsidRPr="009178A6">
        <w:rPr>
          <w:rFonts w:asciiTheme="minorHAnsi" w:hAnsiTheme="minorHAnsi"/>
        </w:rPr>
        <w:t xml:space="preserve">de la </w:t>
      </w:r>
      <w:r w:rsidR="007471DA" w:rsidRPr="009178A6">
        <w:rPr>
          <w:rFonts w:asciiTheme="minorHAnsi" w:hAnsiTheme="minorHAnsi"/>
        </w:rPr>
        <w:t>a</w:t>
      </w:r>
      <w:r w:rsidRPr="009178A6">
        <w:rPr>
          <w:rFonts w:asciiTheme="minorHAnsi" w:hAnsiTheme="minorHAnsi"/>
        </w:rPr>
        <w:t xml:space="preserve">dministración </w:t>
      </w:r>
      <w:r w:rsidR="007471DA" w:rsidRPr="009178A6">
        <w:rPr>
          <w:rFonts w:asciiTheme="minorHAnsi" w:hAnsiTheme="minorHAnsi"/>
        </w:rPr>
        <w:t>p</w:t>
      </w:r>
      <w:r w:rsidRPr="009178A6">
        <w:rPr>
          <w:rFonts w:asciiTheme="minorHAnsi" w:hAnsiTheme="minorHAnsi"/>
        </w:rPr>
        <w:t xml:space="preserve">ública </w:t>
      </w:r>
      <w:r w:rsidR="007471DA" w:rsidRPr="009178A6">
        <w:rPr>
          <w:rFonts w:asciiTheme="minorHAnsi" w:hAnsiTheme="minorHAnsi"/>
        </w:rPr>
        <w:t>p</w:t>
      </w:r>
      <w:r w:rsidRPr="009178A6">
        <w:rPr>
          <w:rFonts w:asciiTheme="minorHAnsi" w:hAnsiTheme="minorHAnsi"/>
        </w:rPr>
        <w:t>rovincial d</w:t>
      </w:r>
      <w:r w:rsidR="001E6E59" w:rsidRPr="009178A6">
        <w:rPr>
          <w:rFonts w:asciiTheme="minorHAnsi" w:hAnsiTheme="minorHAnsi"/>
        </w:rPr>
        <w:t xml:space="preserve">urante el mes de </w:t>
      </w:r>
      <w:r w:rsidR="00A96067">
        <w:rPr>
          <w:rFonts w:asciiTheme="minorHAnsi" w:hAnsiTheme="minorHAnsi"/>
        </w:rPr>
        <w:t>ju</w:t>
      </w:r>
      <w:r w:rsidR="00BE61DC">
        <w:rPr>
          <w:rFonts w:asciiTheme="minorHAnsi" w:hAnsiTheme="minorHAnsi"/>
        </w:rPr>
        <w:t>l</w:t>
      </w:r>
      <w:r w:rsidR="00A96067">
        <w:rPr>
          <w:rFonts w:asciiTheme="minorHAnsi" w:hAnsiTheme="minorHAnsi"/>
        </w:rPr>
        <w:t>io</w:t>
      </w:r>
      <w:r w:rsidR="001B2791">
        <w:rPr>
          <w:rFonts w:asciiTheme="minorHAnsi" w:hAnsiTheme="minorHAnsi"/>
        </w:rPr>
        <w:t xml:space="preserve"> </w:t>
      </w:r>
      <w:r w:rsidR="001E6E59" w:rsidRPr="009178A6">
        <w:rPr>
          <w:rFonts w:asciiTheme="minorHAnsi" w:hAnsiTheme="minorHAnsi"/>
        </w:rPr>
        <w:t>de 201</w:t>
      </w:r>
      <w:r w:rsidR="00894840">
        <w:rPr>
          <w:rFonts w:asciiTheme="minorHAnsi" w:hAnsiTheme="minorHAnsi"/>
        </w:rPr>
        <w:t>8</w:t>
      </w:r>
      <w:r w:rsidR="001E6E59" w:rsidRPr="009178A6">
        <w:rPr>
          <w:rFonts w:asciiTheme="minorHAnsi" w:hAnsiTheme="minorHAnsi"/>
        </w:rPr>
        <w:t>, registró las siguientes variaciones respecto al mes anterior.</w:t>
      </w:r>
    </w:p>
    <w:p w:rsidR="007317A4" w:rsidRDefault="007317A4" w:rsidP="007317A4">
      <w:pPr>
        <w:ind w:left="0"/>
        <w:jc w:val="both"/>
        <w:rPr>
          <w:rFonts w:asciiTheme="minorHAnsi" w:hAnsiTheme="minorHAnsi"/>
        </w:rPr>
      </w:pPr>
    </w:p>
    <w:tbl>
      <w:tblPr>
        <w:tblW w:w="7740" w:type="dxa"/>
        <w:jc w:val="center"/>
        <w:tblCellMar>
          <w:left w:w="70" w:type="dxa"/>
          <w:right w:w="70" w:type="dxa"/>
        </w:tblCellMar>
        <w:tblLook w:val="04A0" w:firstRow="1" w:lastRow="0" w:firstColumn="1" w:lastColumn="0" w:noHBand="0" w:noVBand="1"/>
      </w:tblPr>
      <w:tblGrid>
        <w:gridCol w:w="640"/>
        <w:gridCol w:w="2860"/>
        <w:gridCol w:w="940"/>
        <w:gridCol w:w="940"/>
        <w:gridCol w:w="1020"/>
        <w:gridCol w:w="1340"/>
      </w:tblGrid>
      <w:tr w:rsidR="00BE61DC" w:rsidRPr="00BE61DC" w:rsidTr="001C7F56">
        <w:trPr>
          <w:trHeight w:val="240"/>
          <w:jc w:val="center"/>
        </w:trPr>
        <w:tc>
          <w:tcPr>
            <w:tcW w:w="640" w:type="dxa"/>
            <w:vMerge w:val="restart"/>
            <w:tcBorders>
              <w:top w:val="single" w:sz="4" w:space="0" w:color="auto"/>
              <w:left w:val="single" w:sz="4" w:space="0" w:color="auto"/>
              <w:bottom w:val="single" w:sz="4" w:space="0" w:color="000000"/>
              <w:right w:val="single" w:sz="4" w:space="0" w:color="D0CECE"/>
            </w:tcBorders>
            <w:shd w:val="clear" w:color="000000" w:fill="AEAAAA"/>
            <w:vAlign w:val="center"/>
            <w:hideMark/>
          </w:tcPr>
          <w:p w:rsidR="00BE61DC" w:rsidRPr="00BE61DC" w:rsidRDefault="00BE61DC" w:rsidP="00BE61DC">
            <w:pPr>
              <w:ind w:left="0"/>
              <w:jc w:val="center"/>
              <w:rPr>
                <w:rFonts w:eastAsia="Times New Roman"/>
                <w:b/>
                <w:bCs/>
                <w:sz w:val="18"/>
                <w:szCs w:val="18"/>
                <w:lang w:eastAsia="es-AR"/>
              </w:rPr>
            </w:pPr>
            <w:r w:rsidRPr="00BE61DC">
              <w:rPr>
                <w:rFonts w:eastAsia="Times New Roman"/>
                <w:b/>
                <w:bCs/>
                <w:sz w:val="18"/>
                <w:szCs w:val="18"/>
                <w:lang w:eastAsia="es-AR"/>
              </w:rPr>
              <w:t>Orden</w:t>
            </w:r>
          </w:p>
        </w:tc>
        <w:tc>
          <w:tcPr>
            <w:tcW w:w="2860" w:type="dxa"/>
            <w:vMerge w:val="restart"/>
            <w:tcBorders>
              <w:top w:val="single" w:sz="4" w:space="0" w:color="auto"/>
              <w:left w:val="single" w:sz="4" w:space="0" w:color="D0CECE"/>
              <w:bottom w:val="single" w:sz="4" w:space="0" w:color="000000"/>
              <w:right w:val="single" w:sz="4" w:space="0" w:color="D0CECE"/>
            </w:tcBorders>
            <w:shd w:val="clear" w:color="000000" w:fill="AEAAAA"/>
            <w:vAlign w:val="center"/>
            <w:hideMark/>
          </w:tcPr>
          <w:p w:rsidR="00BE61DC" w:rsidRPr="00BE61DC" w:rsidRDefault="00BE61DC" w:rsidP="00BE61DC">
            <w:pPr>
              <w:ind w:left="0"/>
              <w:jc w:val="center"/>
              <w:rPr>
                <w:rFonts w:eastAsia="Times New Roman"/>
                <w:b/>
                <w:bCs/>
                <w:sz w:val="18"/>
                <w:szCs w:val="18"/>
                <w:lang w:eastAsia="es-AR"/>
              </w:rPr>
            </w:pPr>
            <w:r w:rsidRPr="00BE61DC">
              <w:rPr>
                <w:rFonts w:eastAsia="Times New Roman"/>
                <w:b/>
                <w:bCs/>
                <w:sz w:val="18"/>
                <w:szCs w:val="18"/>
                <w:lang w:eastAsia="es-AR"/>
              </w:rPr>
              <w:t>Factor</w:t>
            </w:r>
          </w:p>
        </w:tc>
        <w:tc>
          <w:tcPr>
            <w:tcW w:w="940" w:type="dxa"/>
            <w:vMerge w:val="restart"/>
            <w:tcBorders>
              <w:top w:val="single" w:sz="4" w:space="0" w:color="auto"/>
              <w:left w:val="single" w:sz="4" w:space="0" w:color="D0CECE"/>
              <w:bottom w:val="single" w:sz="4" w:space="0" w:color="000000"/>
              <w:right w:val="single" w:sz="4" w:space="0" w:color="D0CECE"/>
            </w:tcBorders>
            <w:shd w:val="clear" w:color="000000" w:fill="AEAAAA"/>
            <w:vAlign w:val="center"/>
            <w:hideMark/>
          </w:tcPr>
          <w:p w:rsidR="00BE61DC" w:rsidRPr="00BE61DC" w:rsidRDefault="0005513A" w:rsidP="00BE61DC">
            <w:pPr>
              <w:ind w:left="0"/>
              <w:jc w:val="center"/>
              <w:rPr>
                <w:rFonts w:eastAsia="Times New Roman"/>
                <w:b/>
                <w:bCs/>
                <w:sz w:val="18"/>
                <w:szCs w:val="18"/>
                <w:lang w:eastAsia="es-AR"/>
              </w:rPr>
            </w:pPr>
            <w:r>
              <w:rPr>
                <w:rFonts w:eastAsia="Times New Roman"/>
                <w:b/>
                <w:bCs/>
                <w:sz w:val="18"/>
                <w:szCs w:val="18"/>
                <w:lang w:eastAsia="es-AR"/>
              </w:rPr>
              <w:t>jun</w:t>
            </w:r>
            <w:r w:rsidR="00BE61DC" w:rsidRPr="00BE61DC">
              <w:rPr>
                <w:rFonts w:eastAsia="Times New Roman"/>
                <w:b/>
                <w:bCs/>
                <w:sz w:val="18"/>
                <w:szCs w:val="18"/>
                <w:lang w:eastAsia="es-AR"/>
              </w:rPr>
              <w:t>-18</w:t>
            </w:r>
          </w:p>
        </w:tc>
        <w:tc>
          <w:tcPr>
            <w:tcW w:w="940" w:type="dxa"/>
            <w:vMerge w:val="restart"/>
            <w:tcBorders>
              <w:top w:val="single" w:sz="4" w:space="0" w:color="auto"/>
              <w:left w:val="single" w:sz="4" w:space="0" w:color="D0CECE"/>
              <w:bottom w:val="single" w:sz="4" w:space="0" w:color="000000"/>
              <w:right w:val="single" w:sz="4" w:space="0" w:color="D0CECE"/>
            </w:tcBorders>
            <w:shd w:val="clear" w:color="000000" w:fill="AEAAAA"/>
            <w:vAlign w:val="center"/>
            <w:hideMark/>
          </w:tcPr>
          <w:p w:rsidR="00BE61DC" w:rsidRPr="00BE61DC" w:rsidRDefault="00BE61DC" w:rsidP="0005513A">
            <w:pPr>
              <w:ind w:left="0"/>
              <w:jc w:val="center"/>
              <w:rPr>
                <w:rFonts w:eastAsia="Times New Roman"/>
                <w:b/>
                <w:bCs/>
                <w:sz w:val="18"/>
                <w:szCs w:val="18"/>
                <w:lang w:eastAsia="es-AR"/>
              </w:rPr>
            </w:pPr>
            <w:r w:rsidRPr="00BE61DC">
              <w:rPr>
                <w:rFonts w:eastAsia="Times New Roman"/>
                <w:b/>
                <w:bCs/>
                <w:sz w:val="18"/>
                <w:szCs w:val="18"/>
                <w:lang w:eastAsia="es-AR"/>
              </w:rPr>
              <w:t>ju</w:t>
            </w:r>
            <w:r w:rsidR="0005513A">
              <w:rPr>
                <w:rFonts w:eastAsia="Times New Roman"/>
                <w:b/>
                <w:bCs/>
                <w:sz w:val="18"/>
                <w:szCs w:val="18"/>
                <w:lang w:eastAsia="es-AR"/>
              </w:rPr>
              <w:t>l</w:t>
            </w:r>
            <w:r w:rsidRPr="00BE61DC">
              <w:rPr>
                <w:rFonts w:eastAsia="Times New Roman"/>
                <w:b/>
                <w:bCs/>
                <w:sz w:val="18"/>
                <w:szCs w:val="18"/>
                <w:lang w:eastAsia="es-AR"/>
              </w:rPr>
              <w:t>-18</w:t>
            </w:r>
          </w:p>
        </w:tc>
        <w:tc>
          <w:tcPr>
            <w:tcW w:w="2360" w:type="dxa"/>
            <w:gridSpan w:val="2"/>
            <w:tcBorders>
              <w:top w:val="single" w:sz="4" w:space="0" w:color="auto"/>
              <w:left w:val="nil"/>
              <w:bottom w:val="single" w:sz="4" w:space="0" w:color="D0CECE"/>
              <w:right w:val="single" w:sz="4" w:space="0" w:color="000000"/>
            </w:tcBorders>
            <w:shd w:val="clear" w:color="000000" w:fill="AEAAAA"/>
            <w:noWrap/>
            <w:vAlign w:val="center"/>
            <w:hideMark/>
          </w:tcPr>
          <w:p w:rsidR="00BE61DC" w:rsidRPr="00BE61DC" w:rsidRDefault="00BE61DC" w:rsidP="00BE61DC">
            <w:pPr>
              <w:ind w:left="0"/>
              <w:jc w:val="center"/>
              <w:rPr>
                <w:rFonts w:eastAsia="Times New Roman"/>
                <w:b/>
                <w:bCs/>
                <w:sz w:val="18"/>
                <w:szCs w:val="18"/>
                <w:lang w:eastAsia="es-AR"/>
              </w:rPr>
            </w:pPr>
            <w:r w:rsidRPr="00BE61DC">
              <w:rPr>
                <w:rFonts w:eastAsia="Times New Roman"/>
                <w:b/>
                <w:bCs/>
                <w:sz w:val="18"/>
                <w:szCs w:val="18"/>
                <w:lang w:eastAsia="es-AR"/>
              </w:rPr>
              <w:t>Variación %</w:t>
            </w:r>
          </w:p>
        </w:tc>
      </w:tr>
      <w:tr w:rsidR="00BE61DC" w:rsidRPr="00BE61DC" w:rsidTr="001C7F56">
        <w:trPr>
          <w:trHeight w:val="795"/>
          <w:jc w:val="center"/>
        </w:trPr>
        <w:tc>
          <w:tcPr>
            <w:tcW w:w="640" w:type="dxa"/>
            <w:vMerge/>
            <w:tcBorders>
              <w:top w:val="single" w:sz="4" w:space="0" w:color="auto"/>
              <w:left w:val="single" w:sz="4" w:space="0" w:color="auto"/>
              <w:bottom w:val="single" w:sz="4" w:space="0" w:color="000000"/>
              <w:right w:val="single" w:sz="4" w:space="0" w:color="D0CECE"/>
            </w:tcBorders>
            <w:vAlign w:val="center"/>
            <w:hideMark/>
          </w:tcPr>
          <w:p w:rsidR="00BE61DC" w:rsidRPr="00BE61DC" w:rsidRDefault="00BE61DC" w:rsidP="00BE61DC">
            <w:pPr>
              <w:ind w:left="0"/>
              <w:rPr>
                <w:rFonts w:eastAsia="Times New Roman"/>
                <w:b/>
                <w:bCs/>
                <w:sz w:val="18"/>
                <w:szCs w:val="18"/>
                <w:lang w:eastAsia="es-AR"/>
              </w:rPr>
            </w:pPr>
          </w:p>
        </w:tc>
        <w:tc>
          <w:tcPr>
            <w:tcW w:w="2860" w:type="dxa"/>
            <w:vMerge/>
            <w:tcBorders>
              <w:top w:val="single" w:sz="4" w:space="0" w:color="auto"/>
              <w:left w:val="single" w:sz="4" w:space="0" w:color="D0CECE"/>
              <w:bottom w:val="single" w:sz="4" w:space="0" w:color="000000"/>
              <w:right w:val="single" w:sz="4" w:space="0" w:color="D0CECE"/>
            </w:tcBorders>
            <w:vAlign w:val="center"/>
            <w:hideMark/>
          </w:tcPr>
          <w:p w:rsidR="00BE61DC" w:rsidRPr="00BE61DC" w:rsidRDefault="00BE61DC" w:rsidP="00BE61DC">
            <w:pPr>
              <w:ind w:left="0"/>
              <w:rPr>
                <w:rFonts w:eastAsia="Times New Roman"/>
                <w:b/>
                <w:bCs/>
                <w:sz w:val="18"/>
                <w:szCs w:val="18"/>
                <w:lang w:eastAsia="es-AR"/>
              </w:rPr>
            </w:pPr>
          </w:p>
        </w:tc>
        <w:tc>
          <w:tcPr>
            <w:tcW w:w="940" w:type="dxa"/>
            <w:vMerge/>
            <w:tcBorders>
              <w:top w:val="single" w:sz="4" w:space="0" w:color="auto"/>
              <w:left w:val="single" w:sz="4" w:space="0" w:color="D0CECE"/>
              <w:bottom w:val="single" w:sz="4" w:space="0" w:color="000000"/>
              <w:right w:val="single" w:sz="4" w:space="0" w:color="D0CECE"/>
            </w:tcBorders>
            <w:vAlign w:val="center"/>
            <w:hideMark/>
          </w:tcPr>
          <w:p w:rsidR="00BE61DC" w:rsidRPr="00BE61DC" w:rsidRDefault="00BE61DC" w:rsidP="00BE61DC">
            <w:pPr>
              <w:ind w:left="0"/>
              <w:rPr>
                <w:rFonts w:eastAsia="Times New Roman"/>
                <w:b/>
                <w:bCs/>
                <w:sz w:val="18"/>
                <w:szCs w:val="18"/>
                <w:lang w:eastAsia="es-AR"/>
              </w:rPr>
            </w:pPr>
          </w:p>
        </w:tc>
        <w:tc>
          <w:tcPr>
            <w:tcW w:w="940" w:type="dxa"/>
            <w:vMerge/>
            <w:tcBorders>
              <w:top w:val="single" w:sz="4" w:space="0" w:color="auto"/>
              <w:left w:val="single" w:sz="4" w:space="0" w:color="D0CECE"/>
              <w:bottom w:val="single" w:sz="4" w:space="0" w:color="000000"/>
              <w:right w:val="single" w:sz="4" w:space="0" w:color="D0CECE"/>
            </w:tcBorders>
            <w:vAlign w:val="center"/>
            <w:hideMark/>
          </w:tcPr>
          <w:p w:rsidR="00BE61DC" w:rsidRPr="00BE61DC" w:rsidRDefault="00BE61DC" w:rsidP="00BE61DC">
            <w:pPr>
              <w:ind w:left="0"/>
              <w:rPr>
                <w:rFonts w:eastAsia="Times New Roman"/>
                <w:b/>
                <w:bCs/>
                <w:sz w:val="18"/>
                <w:szCs w:val="18"/>
                <w:lang w:eastAsia="es-AR"/>
              </w:rPr>
            </w:pPr>
          </w:p>
        </w:tc>
        <w:tc>
          <w:tcPr>
            <w:tcW w:w="1020" w:type="dxa"/>
            <w:tcBorders>
              <w:top w:val="nil"/>
              <w:left w:val="nil"/>
              <w:bottom w:val="single" w:sz="4" w:space="0" w:color="auto"/>
              <w:right w:val="single" w:sz="4" w:space="0" w:color="D0CECE"/>
            </w:tcBorders>
            <w:shd w:val="clear" w:color="000000" w:fill="AEAAAA"/>
            <w:vAlign w:val="center"/>
            <w:hideMark/>
          </w:tcPr>
          <w:p w:rsidR="00BE61DC" w:rsidRPr="00BE61DC" w:rsidRDefault="00BE61DC" w:rsidP="00BE61DC">
            <w:pPr>
              <w:ind w:left="0"/>
              <w:jc w:val="center"/>
              <w:rPr>
                <w:rFonts w:eastAsia="Times New Roman"/>
                <w:b/>
                <w:bCs/>
                <w:sz w:val="18"/>
                <w:szCs w:val="18"/>
                <w:lang w:eastAsia="es-AR"/>
              </w:rPr>
            </w:pPr>
            <w:r w:rsidRPr="00BE61DC">
              <w:rPr>
                <w:rFonts w:eastAsia="Times New Roman"/>
                <w:b/>
                <w:bCs/>
                <w:sz w:val="18"/>
                <w:szCs w:val="18"/>
                <w:lang w:eastAsia="es-AR"/>
              </w:rPr>
              <w:t>Mensual</w:t>
            </w:r>
          </w:p>
        </w:tc>
        <w:tc>
          <w:tcPr>
            <w:tcW w:w="1340" w:type="dxa"/>
            <w:tcBorders>
              <w:top w:val="nil"/>
              <w:left w:val="nil"/>
              <w:bottom w:val="single" w:sz="4" w:space="0" w:color="auto"/>
              <w:right w:val="single" w:sz="4" w:space="0" w:color="auto"/>
            </w:tcBorders>
            <w:shd w:val="clear" w:color="000000" w:fill="AEAAAA"/>
            <w:vAlign w:val="center"/>
            <w:hideMark/>
          </w:tcPr>
          <w:p w:rsidR="00BE61DC" w:rsidRPr="00BE61DC" w:rsidRDefault="00BE61DC" w:rsidP="00BE61DC">
            <w:pPr>
              <w:ind w:left="0"/>
              <w:jc w:val="center"/>
              <w:rPr>
                <w:rFonts w:eastAsia="Times New Roman"/>
                <w:b/>
                <w:bCs/>
                <w:sz w:val="18"/>
                <w:szCs w:val="18"/>
                <w:lang w:eastAsia="es-AR"/>
              </w:rPr>
            </w:pPr>
            <w:r w:rsidRPr="00BE61DC">
              <w:rPr>
                <w:rFonts w:eastAsia="Times New Roman"/>
                <w:b/>
                <w:bCs/>
                <w:sz w:val="18"/>
                <w:szCs w:val="18"/>
                <w:lang w:eastAsia="es-AR"/>
              </w:rPr>
              <w:t xml:space="preserve">Acumulada </w:t>
            </w:r>
            <w:r w:rsidRPr="00BE61DC">
              <w:rPr>
                <w:rFonts w:eastAsia="Times New Roman"/>
                <w:b/>
                <w:bCs/>
                <w:sz w:val="16"/>
                <w:szCs w:val="16"/>
                <w:lang w:eastAsia="es-AR"/>
              </w:rPr>
              <w:t>(respecto dic-17)</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1</w:t>
            </w:r>
          </w:p>
        </w:tc>
        <w:tc>
          <w:tcPr>
            <w:tcW w:w="286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Aceros</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250,52</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260,51</w:t>
            </w:r>
          </w:p>
        </w:tc>
        <w:tc>
          <w:tcPr>
            <w:tcW w:w="1020" w:type="dxa"/>
            <w:tcBorders>
              <w:top w:val="nil"/>
              <w:left w:val="nil"/>
              <w:bottom w:val="single" w:sz="4" w:space="0" w:color="D9D9D9"/>
              <w:right w:val="single" w:sz="4" w:space="0" w:color="D9D9D9"/>
            </w:tcBorders>
            <w:shd w:val="clear" w:color="auto" w:fill="auto"/>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3,99%</w:t>
            </w:r>
          </w:p>
        </w:tc>
        <w:tc>
          <w:tcPr>
            <w:tcW w:w="1340" w:type="dxa"/>
            <w:tcBorders>
              <w:top w:val="nil"/>
              <w:left w:val="nil"/>
              <w:bottom w:val="single" w:sz="4" w:space="0" w:color="D9D9D9"/>
              <w:right w:val="single" w:sz="4" w:space="0" w:color="auto"/>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48,84%</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2</w:t>
            </w:r>
          </w:p>
        </w:tc>
        <w:tc>
          <w:tcPr>
            <w:tcW w:w="286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Aireadores</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279,63</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291,12</w:t>
            </w:r>
          </w:p>
        </w:tc>
        <w:tc>
          <w:tcPr>
            <w:tcW w:w="102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4,11%</w:t>
            </w:r>
          </w:p>
        </w:tc>
        <w:tc>
          <w:tcPr>
            <w:tcW w:w="1340" w:type="dxa"/>
            <w:tcBorders>
              <w:top w:val="nil"/>
              <w:left w:val="nil"/>
              <w:bottom w:val="single" w:sz="4" w:space="0" w:color="D9D9D9"/>
              <w:right w:val="single" w:sz="4" w:space="0" w:color="auto"/>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56,07%</w:t>
            </w:r>
          </w:p>
        </w:tc>
        <w:bookmarkStart w:id="0" w:name="_GoBack"/>
        <w:bookmarkEnd w:id="0"/>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3</w:t>
            </w:r>
          </w:p>
        </w:tc>
        <w:tc>
          <w:tcPr>
            <w:tcW w:w="286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rPr>
                <w:rFonts w:eastAsia="Times New Roman"/>
                <w:color w:val="000000"/>
                <w:sz w:val="18"/>
                <w:szCs w:val="18"/>
                <w:lang w:eastAsia="es-AR"/>
              </w:rPr>
            </w:pPr>
            <w:proofErr w:type="spellStart"/>
            <w:r w:rsidRPr="00BE61DC">
              <w:rPr>
                <w:rFonts w:eastAsia="Times New Roman"/>
                <w:color w:val="000000"/>
                <w:sz w:val="18"/>
                <w:szCs w:val="18"/>
                <w:lang w:eastAsia="es-AR"/>
              </w:rPr>
              <w:t>Aisl</w:t>
            </w:r>
            <w:proofErr w:type="spellEnd"/>
            <w:r w:rsidRPr="00BE61DC">
              <w:rPr>
                <w:rFonts w:eastAsia="Times New Roman"/>
                <w:color w:val="000000"/>
                <w:sz w:val="18"/>
                <w:szCs w:val="18"/>
                <w:lang w:eastAsia="es-AR"/>
              </w:rPr>
              <w:t xml:space="preserve">. </w:t>
            </w:r>
            <w:proofErr w:type="spellStart"/>
            <w:proofErr w:type="gramStart"/>
            <w:r w:rsidRPr="00BE61DC">
              <w:rPr>
                <w:rFonts w:eastAsia="Times New Roman"/>
                <w:color w:val="000000"/>
                <w:sz w:val="18"/>
                <w:szCs w:val="18"/>
                <w:lang w:eastAsia="es-AR"/>
              </w:rPr>
              <w:t>mors</w:t>
            </w:r>
            <w:proofErr w:type="spellEnd"/>
            <w:proofErr w:type="gramEnd"/>
            <w:r w:rsidRPr="00BE61DC">
              <w:rPr>
                <w:rFonts w:eastAsia="Times New Roman"/>
                <w:color w:val="000000"/>
                <w:sz w:val="18"/>
                <w:szCs w:val="18"/>
                <w:lang w:eastAsia="es-AR"/>
              </w:rPr>
              <w:t>. herrajes</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252,21</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255,16</w:t>
            </w:r>
          </w:p>
        </w:tc>
        <w:tc>
          <w:tcPr>
            <w:tcW w:w="1020" w:type="dxa"/>
            <w:tcBorders>
              <w:top w:val="nil"/>
              <w:left w:val="nil"/>
              <w:bottom w:val="single" w:sz="4" w:space="0" w:color="D9D9D9"/>
              <w:right w:val="single" w:sz="4" w:space="0" w:color="D9D9D9"/>
            </w:tcBorders>
            <w:shd w:val="clear" w:color="auto" w:fill="auto"/>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1,17%</w:t>
            </w:r>
          </w:p>
        </w:tc>
        <w:tc>
          <w:tcPr>
            <w:tcW w:w="1340" w:type="dxa"/>
            <w:tcBorders>
              <w:top w:val="nil"/>
              <w:left w:val="nil"/>
              <w:bottom w:val="single" w:sz="4" w:space="0" w:color="D9D9D9"/>
              <w:right w:val="single" w:sz="4" w:space="0" w:color="auto"/>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43,30%</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2</w:t>
            </w:r>
          </w:p>
        </w:tc>
        <w:tc>
          <w:tcPr>
            <w:tcW w:w="286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Alambres, aluminio y cerámica</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278,57</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289,85</w:t>
            </w:r>
          </w:p>
        </w:tc>
        <w:tc>
          <w:tcPr>
            <w:tcW w:w="102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4,05%</w:t>
            </w:r>
          </w:p>
        </w:tc>
        <w:tc>
          <w:tcPr>
            <w:tcW w:w="1340" w:type="dxa"/>
            <w:tcBorders>
              <w:top w:val="nil"/>
              <w:left w:val="nil"/>
              <w:bottom w:val="single" w:sz="4" w:space="0" w:color="D9D9D9"/>
              <w:right w:val="single" w:sz="4" w:space="0" w:color="auto"/>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57,03%</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5</w:t>
            </w:r>
          </w:p>
        </w:tc>
        <w:tc>
          <w:tcPr>
            <w:tcW w:w="286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Albañilería</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191,80</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203,63</w:t>
            </w:r>
          </w:p>
        </w:tc>
        <w:tc>
          <w:tcPr>
            <w:tcW w:w="1020" w:type="dxa"/>
            <w:tcBorders>
              <w:top w:val="nil"/>
              <w:left w:val="nil"/>
              <w:bottom w:val="single" w:sz="4" w:space="0" w:color="D9D9D9"/>
              <w:right w:val="single" w:sz="4" w:space="0" w:color="D9D9D9"/>
            </w:tcBorders>
            <w:shd w:val="clear" w:color="auto" w:fill="auto"/>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6,17%</w:t>
            </w:r>
          </w:p>
        </w:tc>
        <w:tc>
          <w:tcPr>
            <w:tcW w:w="1340" w:type="dxa"/>
            <w:tcBorders>
              <w:top w:val="nil"/>
              <w:left w:val="nil"/>
              <w:bottom w:val="single" w:sz="4" w:space="0" w:color="D9D9D9"/>
              <w:right w:val="single" w:sz="4" w:space="0" w:color="auto"/>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28,91%</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6</w:t>
            </w:r>
          </w:p>
        </w:tc>
        <w:tc>
          <w:tcPr>
            <w:tcW w:w="286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Áridos</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197,39</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209,01</w:t>
            </w:r>
          </w:p>
        </w:tc>
        <w:tc>
          <w:tcPr>
            <w:tcW w:w="102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5,89%</w:t>
            </w:r>
          </w:p>
        </w:tc>
        <w:tc>
          <w:tcPr>
            <w:tcW w:w="1340" w:type="dxa"/>
            <w:tcBorders>
              <w:top w:val="nil"/>
              <w:left w:val="nil"/>
              <w:bottom w:val="single" w:sz="4" w:space="0" w:color="D9D9D9"/>
              <w:right w:val="single" w:sz="4" w:space="0" w:color="auto"/>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24,84%</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7</w:t>
            </w:r>
          </w:p>
        </w:tc>
        <w:tc>
          <w:tcPr>
            <w:tcW w:w="286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Áridos Triturados</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195,36</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206,93</w:t>
            </w:r>
          </w:p>
        </w:tc>
        <w:tc>
          <w:tcPr>
            <w:tcW w:w="1020" w:type="dxa"/>
            <w:tcBorders>
              <w:top w:val="nil"/>
              <w:left w:val="nil"/>
              <w:bottom w:val="single" w:sz="4" w:space="0" w:color="D9D9D9"/>
              <w:right w:val="single" w:sz="4" w:space="0" w:color="D9D9D9"/>
            </w:tcBorders>
            <w:shd w:val="clear" w:color="auto" w:fill="auto"/>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5,92%</w:t>
            </w:r>
          </w:p>
        </w:tc>
        <w:tc>
          <w:tcPr>
            <w:tcW w:w="1340" w:type="dxa"/>
            <w:tcBorders>
              <w:top w:val="nil"/>
              <w:left w:val="nil"/>
              <w:bottom w:val="single" w:sz="4" w:space="0" w:color="D9D9D9"/>
              <w:right w:val="single" w:sz="4" w:space="0" w:color="auto"/>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24,37%</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8</w:t>
            </w:r>
          </w:p>
        </w:tc>
        <w:tc>
          <w:tcPr>
            <w:tcW w:w="286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Asfaltos</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277,25</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317,72</w:t>
            </w:r>
          </w:p>
        </w:tc>
        <w:tc>
          <w:tcPr>
            <w:tcW w:w="102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14,60%</w:t>
            </w:r>
          </w:p>
        </w:tc>
        <w:tc>
          <w:tcPr>
            <w:tcW w:w="1340" w:type="dxa"/>
            <w:tcBorders>
              <w:top w:val="nil"/>
              <w:left w:val="nil"/>
              <w:bottom w:val="single" w:sz="4" w:space="0" w:color="D9D9D9"/>
              <w:right w:val="single" w:sz="4" w:space="0" w:color="auto"/>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63,28%</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9</w:t>
            </w:r>
          </w:p>
        </w:tc>
        <w:tc>
          <w:tcPr>
            <w:tcW w:w="286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Cable</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320,83</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334,02</w:t>
            </w:r>
          </w:p>
        </w:tc>
        <w:tc>
          <w:tcPr>
            <w:tcW w:w="1020" w:type="dxa"/>
            <w:tcBorders>
              <w:top w:val="nil"/>
              <w:left w:val="nil"/>
              <w:bottom w:val="single" w:sz="4" w:space="0" w:color="D9D9D9"/>
              <w:right w:val="single" w:sz="4" w:space="0" w:color="D9D9D9"/>
            </w:tcBorders>
            <w:shd w:val="clear" w:color="auto" w:fill="auto"/>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4,11%</w:t>
            </w:r>
          </w:p>
        </w:tc>
        <w:tc>
          <w:tcPr>
            <w:tcW w:w="1340" w:type="dxa"/>
            <w:tcBorders>
              <w:top w:val="nil"/>
              <w:left w:val="nil"/>
              <w:bottom w:val="single" w:sz="4" w:space="0" w:color="D9D9D9"/>
              <w:right w:val="single" w:sz="4" w:space="0" w:color="auto"/>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58,97%</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10</w:t>
            </w:r>
          </w:p>
        </w:tc>
        <w:tc>
          <w:tcPr>
            <w:tcW w:w="286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Caños de PRFV</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261,82</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292,09</w:t>
            </w:r>
          </w:p>
        </w:tc>
        <w:tc>
          <w:tcPr>
            <w:tcW w:w="102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11,56%</w:t>
            </w:r>
          </w:p>
        </w:tc>
        <w:tc>
          <w:tcPr>
            <w:tcW w:w="1340" w:type="dxa"/>
            <w:tcBorders>
              <w:top w:val="nil"/>
              <w:left w:val="nil"/>
              <w:bottom w:val="single" w:sz="4" w:space="0" w:color="D9D9D9"/>
              <w:right w:val="single" w:sz="4" w:space="0" w:color="auto"/>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65,77%</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11</w:t>
            </w:r>
          </w:p>
        </w:tc>
        <w:tc>
          <w:tcPr>
            <w:tcW w:w="286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 xml:space="preserve">Caños de PVC  </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191,94</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206,50</w:t>
            </w:r>
          </w:p>
        </w:tc>
        <w:tc>
          <w:tcPr>
            <w:tcW w:w="1020" w:type="dxa"/>
            <w:tcBorders>
              <w:top w:val="nil"/>
              <w:left w:val="nil"/>
              <w:bottom w:val="single" w:sz="4" w:space="0" w:color="D9D9D9"/>
              <w:right w:val="single" w:sz="4" w:space="0" w:color="D9D9D9"/>
            </w:tcBorders>
            <w:shd w:val="clear" w:color="auto" w:fill="auto"/>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7,59%</w:t>
            </w:r>
          </w:p>
        </w:tc>
        <w:tc>
          <w:tcPr>
            <w:tcW w:w="1340" w:type="dxa"/>
            <w:tcBorders>
              <w:top w:val="nil"/>
              <w:left w:val="nil"/>
              <w:bottom w:val="single" w:sz="4" w:space="0" w:color="D9D9D9"/>
              <w:right w:val="single" w:sz="4" w:space="0" w:color="auto"/>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28,21%</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12</w:t>
            </w:r>
          </w:p>
        </w:tc>
        <w:tc>
          <w:tcPr>
            <w:tcW w:w="286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Carpintería</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186,65</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193,74</w:t>
            </w:r>
          </w:p>
        </w:tc>
        <w:tc>
          <w:tcPr>
            <w:tcW w:w="102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3,80%</w:t>
            </w:r>
          </w:p>
        </w:tc>
        <w:tc>
          <w:tcPr>
            <w:tcW w:w="1340" w:type="dxa"/>
            <w:tcBorders>
              <w:top w:val="nil"/>
              <w:left w:val="nil"/>
              <w:bottom w:val="single" w:sz="4" w:space="0" w:color="D9D9D9"/>
              <w:right w:val="single" w:sz="4" w:space="0" w:color="auto"/>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28,59%</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13</w:t>
            </w:r>
          </w:p>
        </w:tc>
        <w:tc>
          <w:tcPr>
            <w:tcW w:w="286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Cemento</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204,12</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219,21</w:t>
            </w:r>
          </w:p>
        </w:tc>
        <w:tc>
          <w:tcPr>
            <w:tcW w:w="1020" w:type="dxa"/>
            <w:tcBorders>
              <w:top w:val="nil"/>
              <w:left w:val="nil"/>
              <w:bottom w:val="single" w:sz="4" w:space="0" w:color="D9D9D9"/>
              <w:right w:val="single" w:sz="4" w:space="0" w:color="D9D9D9"/>
            </w:tcBorders>
            <w:shd w:val="clear" w:color="auto" w:fill="auto"/>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7,39%</w:t>
            </w:r>
          </w:p>
        </w:tc>
        <w:tc>
          <w:tcPr>
            <w:tcW w:w="1340" w:type="dxa"/>
            <w:tcBorders>
              <w:top w:val="nil"/>
              <w:left w:val="nil"/>
              <w:bottom w:val="single" w:sz="4" w:space="0" w:color="D9D9D9"/>
              <w:right w:val="single" w:sz="4" w:space="0" w:color="auto"/>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30,30%</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14</w:t>
            </w:r>
          </w:p>
        </w:tc>
        <w:tc>
          <w:tcPr>
            <w:tcW w:w="286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Combustible</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190,92</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206,87</w:t>
            </w:r>
          </w:p>
        </w:tc>
        <w:tc>
          <w:tcPr>
            <w:tcW w:w="102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8,36%</w:t>
            </w:r>
          </w:p>
        </w:tc>
        <w:tc>
          <w:tcPr>
            <w:tcW w:w="1340" w:type="dxa"/>
            <w:tcBorders>
              <w:top w:val="nil"/>
              <w:left w:val="nil"/>
              <w:bottom w:val="single" w:sz="4" w:space="0" w:color="D9D9D9"/>
              <w:right w:val="single" w:sz="4" w:space="0" w:color="auto"/>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25,72%</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15</w:t>
            </w:r>
          </w:p>
        </w:tc>
        <w:tc>
          <w:tcPr>
            <w:tcW w:w="286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Electrobombas</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259,52</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270,19</w:t>
            </w:r>
          </w:p>
        </w:tc>
        <w:tc>
          <w:tcPr>
            <w:tcW w:w="1020" w:type="dxa"/>
            <w:tcBorders>
              <w:top w:val="nil"/>
              <w:left w:val="nil"/>
              <w:bottom w:val="single" w:sz="4" w:space="0" w:color="D9D9D9"/>
              <w:right w:val="single" w:sz="4" w:space="0" w:color="D9D9D9"/>
            </w:tcBorders>
            <w:shd w:val="clear" w:color="auto" w:fill="auto"/>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4,11%</w:t>
            </w:r>
          </w:p>
        </w:tc>
        <w:tc>
          <w:tcPr>
            <w:tcW w:w="1340" w:type="dxa"/>
            <w:tcBorders>
              <w:top w:val="nil"/>
              <w:left w:val="nil"/>
              <w:bottom w:val="single" w:sz="4" w:space="0" w:color="D9D9D9"/>
              <w:right w:val="single" w:sz="4" w:space="0" w:color="auto"/>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56,07%</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16</w:t>
            </w:r>
          </w:p>
        </w:tc>
        <w:tc>
          <w:tcPr>
            <w:tcW w:w="286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rPr>
                <w:rFonts w:eastAsia="Times New Roman"/>
                <w:color w:val="000000"/>
                <w:sz w:val="18"/>
                <w:szCs w:val="18"/>
                <w:lang w:eastAsia="es-AR"/>
              </w:rPr>
            </w:pPr>
            <w:proofErr w:type="spellStart"/>
            <w:r w:rsidRPr="00BE61DC">
              <w:rPr>
                <w:rFonts w:eastAsia="Times New Roman"/>
                <w:color w:val="000000"/>
                <w:sz w:val="18"/>
                <w:szCs w:val="18"/>
                <w:lang w:eastAsia="es-AR"/>
              </w:rPr>
              <w:t>Equip</w:t>
            </w:r>
            <w:proofErr w:type="spellEnd"/>
            <w:r w:rsidRPr="00BE61DC">
              <w:rPr>
                <w:rFonts w:eastAsia="Times New Roman"/>
                <w:color w:val="000000"/>
                <w:sz w:val="18"/>
                <w:szCs w:val="18"/>
                <w:lang w:eastAsia="es-AR"/>
              </w:rPr>
              <w:t>. p/</w:t>
            </w:r>
            <w:proofErr w:type="spellStart"/>
            <w:r w:rsidRPr="00BE61DC">
              <w:rPr>
                <w:rFonts w:eastAsia="Times New Roman"/>
                <w:color w:val="000000"/>
                <w:sz w:val="18"/>
                <w:szCs w:val="18"/>
                <w:lang w:eastAsia="es-AR"/>
              </w:rPr>
              <w:t>preensamblados</w:t>
            </w:r>
            <w:proofErr w:type="spellEnd"/>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248,78</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256,37</w:t>
            </w:r>
          </w:p>
        </w:tc>
        <w:tc>
          <w:tcPr>
            <w:tcW w:w="102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3,05%</w:t>
            </w:r>
          </w:p>
        </w:tc>
        <w:tc>
          <w:tcPr>
            <w:tcW w:w="1340" w:type="dxa"/>
            <w:tcBorders>
              <w:top w:val="nil"/>
              <w:left w:val="nil"/>
              <w:bottom w:val="single" w:sz="4" w:space="0" w:color="D9D9D9"/>
              <w:right w:val="single" w:sz="4" w:space="0" w:color="auto"/>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58,05%</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17</w:t>
            </w:r>
          </w:p>
        </w:tc>
        <w:tc>
          <w:tcPr>
            <w:tcW w:w="286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 xml:space="preserve">Equipo - </w:t>
            </w:r>
            <w:proofErr w:type="spellStart"/>
            <w:r w:rsidRPr="00BE61DC">
              <w:rPr>
                <w:rFonts w:eastAsia="Times New Roman"/>
                <w:color w:val="000000"/>
                <w:sz w:val="18"/>
                <w:szCs w:val="18"/>
                <w:lang w:eastAsia="es-AR"/>
              </w:rPr>
              <w:t>Amort</w:t>
            </w:r>
            <w:proofErr w:type="spellEnd"/>
            <w:r w:rsidRPr="00BE61DC">
              <w:rPr>
                <w:rFonts w:eastAsia="Times New Roman"/>
                <w:color w:val="000000"/>
                <w:sz w:val="18"/>
                <w:szCs w:val="18"/>
                <w:lang w:eastAsia="es-AR"/>
              </w:rPr>
              <w:t>. Equipo</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234,20</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243,77</w:t>
            </w:r>
          </w:p>
        </w:tc>
        <w:tc>
          <w:tcPr>
            <w:tcW w:w="1020" w:type="dxa"/>
            <w:tcBorders>
              <w:top w:val="nil"/>
              <w:left w:val="nil"/>
              <w:bottom w:val="single" w:sz="4" w:space="0" w:color="D9D9D9"/>
              <w:right w:val="single" w:sz="4" w:space="0" w:color="D9D9D9"/>
            </w:tcBorders>
            <w:shd w:val="clear" w:color="auto" w:fill="auto"/>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4,09%</w:t>
            </w:r>
          </w:p>
        </w:tc>
        <w:tc>
          <w:tcPr>
            <w:tcW w:w="1340" w:type="dxa"/>
            <w:tcBorders>
              <w:top w:val="nil"/>
              <w:left w:val="nil"/>
              <w:bottom w:val="single" w:sz="4" w:space="0" w:color="D9D9D9"/>
              <w:right w:val="single" w:sz="4" w:space="0" w:color="auto"/>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49,31%</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18</w:t>
            </w:r>
          </w:p>
        </w:tc>
        <w:tc>
          <w:tcPr>
            <w:tcW w:w="286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Gastos generales</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205,97</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213,22</w:t>
            </w:r>
          </w:p>
        </w:tc>
        <w:tc>
          <w:tcPr>
            <w:tcW w:w="102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3,52%</w:t>
            </w:r>
          </w:p>
        </w:tc>
        <w:tc>
          <w:tcPr>
            <w:tcW w:w="1340" w:type="dxa"/>
            <w:tcBorders>
              <w:top w:val="nil"/>
              <w:left w:val="nil"/>
              <w:bottom w:val="single" w:sz="4" w:space="0" w:color="D9D9D9"/>
              <w:right w:val="single" w:sz="4" w:space="0" w:color="auto"/>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19,87%</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19</w:t>
            </w:r>
          </w:p>
        </w:tc>
        <w:tc>
          <w:tcPr>
            <w:tcW w:w="286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Gastos varios</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179,37</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186,30</w:t>
            </w:r>
          </w:p>
        </w:tc>
        <w:tc>
          <w:tcPr>
            <w:tcW w:w="1020" w:type="dxa"/>
            <w:tcBorders>
              <w:top w:val="nil"/>
              <w:left w:val="nil"/>
              <w:bottom w:val="single" w:sz="4" w:space="0" w:color="D9D9D9"/>
              <w:right w:val="single" w:sz="4" w:space="0" w:color="D9D9D9"/>
            </w:tcBorders>
            <w:shd w:val="clear" w:color="auto" w:fill="auto"/>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3,86%</w:t>
            </w:r>
          </w:p>
        </w:tc>
        <w:tc>
          <w:tcPr>
            <w:tcW w:w="1340" w:type="dxa"/>
            <w:tcBorders>
              <w:top w:val="nil"/>
              <w:left w:val="nil"/>
              <w:bottom w:val="single" w:sz="4" w:space="0" w:color="D9D9D9"/>
              <w:right w:val="single" w:sz="4" w:space="0" w:color="auto"/>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9,64%</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20</w:t>
            </w:r>
          </w:p>
        </w:tc>
        <w:tc>
          <w:tcPr>
            <w:tcW w:w="286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Gaviones</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232,14</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245,79</w:t>
            </w:r>
          </w:p>
        </w:tc>
        <w:tc>
          <w:tcPr>
            <w:tcW w:w="102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5,88%</w:t>
            </w:r>
          </w:p>
        </w:tc>
        <w:tc>
          <w:tcPr>
            <w:tcW w:w="1340" w:type="dxa"/>
            <w:tcBorders>
              <w:top w:val="nil"/>
              <w:left w:val="nil"/>
              <w:bottom w:val="single" w:sz="4" w:space="0" w:color="D9D9D9"/>
              <w:right w:val="single" w:sz="4" w:space="0" w:color="auto"/>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31,04%</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21</w:t>
            </w:r>
          </w:p>
        </w:tc>
        <w:tc>
          <w:tcPr>
            <w:tcW w:w="286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Hormigón</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280,58</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297,35</w:t>
            </w:r>
          </w:p>
        </w:tc>
        <w:tc>
          <w:tcPr>
            <w:tcW w:w="1020" w:type="dxa"/>
            <w:tcBorders>
              <w:top w:val="nil"/>
              <w:left w:val="nil"/>
              <w:bottom w:val="single" w:sz="4" w:space="0" w:color="D9D9D9"/>
              <w:right w:val="single" w:sz="4" w:space="0" w:color="D9D9D9"/>
            </w:tcBorders>
            <w:shd w:val="clear" w:color="auto" w:fill="auto"/>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5,98%</w:t>
            </w:r>
          </w:p>
        </w:tc>
        <w:tc>
          <w:tcPr>
            <w:tcW w:w="1340" w:type="dxa"/>
            <w:tcBorders>
              <w:top w:val="nil"/>
              <w:left w:val="nil"/>
              <w:bottom w:val="single" w:sz="4" w:space="0" w:color="D9D9D9"/>
              <w:right w:val="single" w:sz="4" w:space="0" w:color="auto"/>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35,75%</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22</w:t>
            </w:r>
          </w:p>
        </w:tc>
        <w:tc>
          <w:tcPr>
            <w:tcW w:w="286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Instalaciones de gas</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187,77</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203,01</w:t>
            </w:r>
          </w:p>
        </w:tc>
        <w:tc>
          <w:tcPr>
            <w:tcW w:w="102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8,12%</w:t>
            </w:r>
          </w:p>
        </w:tc>
        <w:tc>
          <w:tcPr>
            <w:tcW w:w="1340" w:type="dxa"/>
            <w:tcBorders>
              <w:top w:val="nil"/>
              <w:left w:val="nil"/>
              <w:bottom w:val="single" w:sz="4" w:space="0" w:color="D9D9D9"/>
              <w:right w:val="single" w:sz="4" w:space="0" w:color="auto"/>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35,60%</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23</w:t>
            </w:r>
          </w:p>
        </w:tc>
        <w:tc>
          <w:tcPr>
            <w:tcW w:w="286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Instalaciones eléctricas</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179,75</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194,64</w:t>
            </w:r>
          </w:p>
        </w:tc>
        <w:tc>
          <w:tcPr>
            <w:tcW w:w="1020" w:type="dxa"/>
            <w:tcBorders>
              <w:top w:val="nil"/>
              <w:left w:val="nil"/>
              <w:bottom w:val="single" w:sz="4" w:space="0" w:color="D9D9D9"/>
              <w:right w:val="single" w:sz="4" w:space="0" w:color="D9D9D9"/>
            </w:tcBorders>
            <w:shd w:val="clear" w:color="auto" w:fill="auto"/>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8,29%</w:t>
            </w:r>
          </w:p>
        </w:tc>
        <w:tc>
          <w:tcPr>
            <w:tcW w:w="1340" w:type="dxa"/>
            <w:tcBorders>
              <w:top w:val="nil"/>
              <w:left w:val="nil"/>
              <w:bottom w:val="single" w:sz="4" w:space="0" w:color="D9D9D9"/>
              <w:right w:val="single" w:sz="4" w:space="0" w:color="auto"/>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44,07%</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24</w:t>
            </w:r>
          </w:p>
        </w:tc>
        <w:tc>
          <w:tcPr>
            <w:tcW w:w="286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Instalaciones sanitarias</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178,37</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191,38</w:t>
            </w:r>
          </w:p>
        </w:tc>
        <w:tc>
          <w:tcPr>
            <w:tcW w:w="102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7,29%</w:t>
            </w:r>
          </w:p>
        </w:tc>
        <w:tc>
          <w:tcPr>
            <w:tcW w:w="1340" w:type="dxa"/>
            <w:tcBorders>
              <w:top w:val="nil"/>
              <w:left w:val="nil"/>
              <w:bottom w:val="single" w:sz="4" w:space="0" w:color="D9D9D9"/>
              <w:right w:val="single" w:sz="4" w:space="0" w:color="auto"/>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28,00%</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25</w:t>
            </w:r>
          </w:p>
        </w:tc>
        <w:tc>
          <w:tcPr>
            <w:tcW w:w="286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Lámina reflectante</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192,90</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202,86</w:t>
            </w:r>
          </w:p>
        </w:tc>
        <w:tc>
          <w:tcPr>
            <w:tcW w:w="1020" w:type="dxa"/>
            <w:tcBorders>
              <w:top w:val="nil"/>
              <w:left w:val="nil"/>
              <w:bottom w:val="single" w:sz="4" w:space="0" w:color="D9D9D9"/>
              <w:right w:val="single" w:sz="4" w:space="0" w:color="D9D9D9"/>
            </w:tcBorders>
            <w:shd w:val="clear" w:color="auto" w:fill="auto"/>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5,16%</w:t>
            </w:r>
          </w:p>
        </w:tc>
        <w:tc>
          <w:tcPr>
            <w:tcW w:w="1340" w:type="dxa"/>
            <w:tcBorders>
              <w:top w:val="nil"/>
              <w:left w:val="nil"/>
              <w:bottom w:val="single" w:sz="4" w:space="0" w:color="D9D9D9"/>
              <w:right w:val="single" w:sz="4" w:space="0" w:color="auto"/>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61,47%</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26</w:t>
            </w:r>
          </w:p>
        </w:tc>
        <w:tc>
          <w:tcPr>
            <w:tcW w:w="286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Mano de obra</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191,61</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191,75</w:t>
            </w:r>
          </w:p>
        </w:tc>
        <w:tc>
          <w:tcPr>
            <w:tcW w:w="102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0,07%</w:t>
            </w:r>
          </w:p>
        </w:tc>
        <w:tc>
          <w:tcPr>
            <w:tcW w:w="1340" w:type="dxa"/>
            <w:tcBorders>
              <w:top w:val="nil"/>
              <w:left w:val="nil"/>
              <w:bottom w:val="single" w:sz="4" w:space="0" w:color="D9D9D9"/>
              <w:right w:val="single" w:sz="4" w:space="0" w:color="auto"/>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13,01%</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27</w:t>
            </w:r>
          </w:p>
        </w:tc>
        <w:tc>
          <w:tcPr>
            <w:tcW w:w="286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Maquinaria y motores p/ E.E.T.T.</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291,73</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302,39</w:t>
            </w:r>
          </w:p>
        </w:tc>
        <w:tc>
          <w:tcPr>
            <w:tcW w:w="1020" w:type="dxa"/>
            <w:tcBorders>
              <w:top w:val="nil"/>
              <w:left w:val="nil"/>
              <w:bottom w:val="single" w:sz="4" w:space="0" w:color="D9D9D9"/>
              <w:right w:val="single" w:sz="4" w:space="0" w:color="D9D9D9"/>
            </w:tcBorders>
            <w:shd w:val="clear" w:color="auto" w:fill="auto"/>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3,65%</w:t>
            </w:r>
          </w:p>
        </w:tc>
        <w:tc>
          <w:tcPr>
            <w:tcW w:w="1340" w:type="dxa"/>
            <w:tcBorders>
              <w:top w:val="nil"/>
              <w:left w:val="nil"/>
              <w:bottom w:val="single" w:sz="4" w:space="0" w:color="D9D9D9"/>
              <w:right w:val="single" w:sz="4" w:space="0" w:color="auto"/>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49,69%</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28</w:t>
            </w:r>
          </w:p>
        </w:tc>
        <w:tc>
          <w:tcPr>
            <w:tcW w:w="286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Medidores de caudal</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284,20</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296,11</w:t>
            </w:r>
          </w:p>
        </w:tc>
        <w:tc>
          <w:tcPr>
            <w:tcW w:w="102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4,19%</w:t>
            </w:r>
          </w:p>
        </w:tc>
        <w:tc>
          <w:tcPr>
            <w:tcW w:w="1340" w:type="dxa"/>
            <w:tcBorders>
              <w:top w:val="nil"/>
              <w:left w:val="nil"/>
              <w:bottom w:val="single" w:sz="4" w:space="0" w:color="D9D9D9"/>
              <w:right w:val="single" w:sz="4" w:space="0" w:color="auto"/>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61,84%</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29</w:t>
            </w:r>
          </w:p>
        </w:tc>
        <w:tc>
          <w:tcPr>
            <w:tcW w:w="286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Membrana geotextil</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276,26</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288,45</w:t>
            </w:r>
          </w:p>
        </w:tc>
        <w:tc>
          <w:tcPr>
            <w:tcW w:w="1020" w:type="dxa"/>
            <w:tcBorders>
              <w:top w:val="nil"/>
              <w:left w:val="nil"/>
              <w:bottom w:val="single" w:sz="4" w:space="0" w:color="D9D9D9"/>
              <w:right w:val="single" w:sz="4" w:space="0" w:color="D9D9D9"/>
            </w:tcBorders>
            <w:shd w:val="clear" w:color="auto" w:fill="auto"/>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4,41%</w:t>
            </w:r>
          </w:p>
        </w:tc>
        <w:tc>
          <w:tcPr>
            <w:tcW w:w="1340" w:type="dxa"/>
            <w:tcBorders>
              <w:top w:val="nil"/>
              <w:left w:val="nil"/>
              <w:bottom w:val="single" w:sz="4" w:space="0" w:color="D9D9D9"/>
              <w:right w:val="single" w:sz="4" w:space="0" w:color="auto"/>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59,45%</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30</w:t>
            </w:r>
          </w:p>
        </w:tc>
        <w:tc>
          <w:tcPr>
            <w:tcW w:w="286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 xml:space="preserve">Pintura </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201,71</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220,81</w:t>
            </w:r>
          </w:p>
        </w:tc>
        <w:tc>
          <w:tcPr>
            <w:tcW w:w="102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9,47%</w:t>
            </w:r>
          </w:p>
        </w:tc>
        <w:tc>
          <w:tcPr>
            <w:tcW w:w="1340" w:type="dxa"/>
            <w:tcBorders>
              <w:top w:val="nil"/>
              <w:left w:val="nil"/>
              <w:bottom w:val="single" w:sz="4" w:space="0" w:color="D9D9D9"/>
              <w:right w:val="single" w:sz="4" w:space="0" w:color="auto"/>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34,10%</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31</w:t>
            </w:r>
          </w:p>
        </w:tc>
        <w:tc>
          <w:tcPr>
            <w:tcW w:w="286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Pintura termoplástica reflectante</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200,49</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207,84</w:t>
            </w:r>
          </w:p>
        </w:tc>
        <w:tc>
          <w:tcPr>
            <w:tcW w:w="1020" w:type="dxa"/>
            <w:tcBorders>
              <w:top w:val="nil"/>
              <w:left w:val="nil"/>
              <w:bottom w:val="single" w:sz="4" w:space="0" w:color="D9D9D9"/>
              <w:right w:val="single" w:sz="4" w:space="0" w:color="D9D9D9"/>
            </w:tcBorders>
            <w:shd w:val="clear" w:color="auto" w:fill="auto"/>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3,67%</w:t>
            </w:r>
          </w:p>
        </w:tc>
        <w:tc>
          <w:tcPr>
            <w:tcW w:w="1340" w:type="dxa"/>
            <w:tcBorders>
              <w:top w:val="nil"/>
              <w:left w:val="nil"/>
              <w:bottom w:val="single" w:sz="4" w:space="0" w:color="D9D9D9"/>
              <w:right w:val="single" w:sz="4" w:space="0" w:color="auto"/>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35,06%</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32</w:t>
            </w:r>
          </w:p>
        </w:tc>
        <w:tc>
          <w:tcPr>
            <w:tcW w:w="286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Productos de plástico</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270,65</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287,61</w:t>
            </w:r>
          </w:p>
        </w:tc>
        <w:tc>
          <w:tcPr>
            <w:tcW w:w="102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6,27%</w:t>
            </w:r>
          </w:p>
        </w:tc>
        <w:tc>
          <w:tcPr>
            <w:tcW w:w="1340" w:type="dxa"/>
            <w:tcBorders>
              <w:top w:val="nil"/>
              <w:left w:val="nil"/>
              <w:bottom w:val="single" w:sz="4" w:space="0" w:color="D9D9D9"/>
              <w:right w:val="single" w:sz="4" w:space="0" w:color="auto"/>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56,24%</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lastRenderedPageBreak/>
              <w:t>33</w:t>
            </w:r>
          </w:p>
        </w:tc>
        <w:tc>
          <w:tcPr>
            <w:tcW w:w="286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Productos químicos</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169,27</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174,08</w:t>
            </w:r>
          </w:p>
        </w:tc>
        <w:tc>
          <w:tcPr>
            <w:tcW w:w="1020" w:type="dxa"/>
            <w:tcBorders>
              <w:top w:val="nil"/>
              <w:left w:val="nil"/>
              <w:bottom w:val="single" w:sz="4" w:space="0" w:color="D9D9D9"/>
              <w:right w:val="single" w:sz="4" w:space="0" w:color="D9D9D9"/>
            </w:tcBorders>
            <w:shd w:val="clear" w:color="auto" w:fill="auto"/>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2,84%</w:t>
            </w:r>
          </w:p>
        </w:tc>
        <w:tc>
          <w:tcPr>
            <w:tcW w:w="1340" w:type="dxa"/>
            <w:tcBorders>
              <w:top w:val="nil"/>
              <w:left w:val="nil"/>
              <w:bottom w:val="single" w:sz="4" w:space="0" w:color="D9D9D9"/>
              <w:right w:val="single" w:sz="4" w:space="0" w:color="auto"/>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17,47%</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34</w:t>
            </w:r>
          </w:p>
        </w:tc>
        <w:tc>
          <w:tcPr>
            <w:tcW w:w="286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rPr>
                <w:rFonts w:eastAsia="Times New Roman"/>
                <w:color w:val="000000"/>
                <w:sz w:val="18"/>
                <w:szCs w:val="18"/>
                <w:lang w:eastAsia="es-AR"/>
              </w:rPr>
            </w:pPr>
            <w:proofErr w:type="spellStart"/>
            <w:r w:rsidRPr="00BE61DC">
              <w:rPr>
                <w:rFonts w:eastAsia="Times New Roman"/>
                <w:color w:val="000000"/>
                <w:sz w:val="18"/>
                <w:szCs w:val="18"/>
                <w:lang w:eastAsia="es-AR"/>
              </w:rPr>
              <w:t>Sust</w:t>
            </w:r>
            <w:proofErr w:type="spellEnd"/>
            <w:r w:rsidRPr="00BE61DC">
              <w:rPr>
                <w:rFonts w:eastAsia="Times New Roman"/>
                <w:color w:val="000000"/>
                <w:sz w:val="18"/>
                <w:szCs w:val="18"/>
                <w:lang w:eastAsia="es-AR"/>
              </w:rPr>
              <w:t>. plásticas y elastómeros</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280,05</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291,56</w:t>
            </w:r>
          </w:p>
        </w:tc>
        <w:tc>
          <w:tcPr>
            <w:tcW w:w="102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4,11%</w:t>
            </w:r>
          </w:p>
        </w:tc>
        <w:tc>
          <w:tcPr>
            <w:tcW w:w="1340" w:type="dxa"/>
            <w:tcBorders>
              <w:top w:val="nil"/>
              <w:left w:val="nil"/>
              <w:bottom w:val="single" w:sz="4" w:space="0" w:color="D9D9D9"/>
              <w:right w:val="single" w:sz="4" w:space="0" w:color="auto"/>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55,77%</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35</w:t>
            </w:r>
          </w:p>
        </w:tc>
        <w:tc>
          <w:tcPr>
            <w:tcW w:w="286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Tarifa eléctrica</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349,52</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386,93</w:t>
            </w:r>
          </w:p>
        </w:tc>
        <w:tc>
          <w:tcPr>
            <w:tcW w:w="1020" w:type="dxa"/>
            <w:tcBorders>
              <w:top w:val="nil"/>
              <w:left w:val="nil"/>
              <w:bottom w:val="single" w:sz="4" w:space="0" w:color="D9D9D9"/>
              <w:right w:val="single" w:sz="4" w:space="0" w:color="D9D9D9"/>
            </w:tcBorders>
            <w:shd w:val="clear" w:color="auto" w:fill="auto"/>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10,70%</w:t>
            </w:r>
          </w:p>
        </w:tc>
        <w:tc>
          <w:tcPr>
            <w:tcW w:w="1340" w:type="dxa"/>
            <w:tcBorders>
              <w:top w:val="nil"/>
              <w:left w:val="nil"/>
              <w:bottom w:val="single" w:sz="4" w:space="0" w:color="D9D9D9"/>
              <w:right w:val="single" w:sz="4" w:space="0" w:color="auto"/>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25,95%</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36</w:t>
            </w:r>
          </w:p>
        </w:tc>
        <w:tc>
          <w:tcPr>
            <w:tcW w:w="286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Trabajos preparatorios</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215,30</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225,50</w:t>
            </w:r>
          </w:p>
        </w:tc>
        <w:tc>
          <w:tcPr>
            <w:tcW w:w="102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4,74%</w:t>
            </w:r>
          </w:p>
        </w:tc>
        <w:tc>
          <w:tcPr>
            <w:tcW w:w="1340" w:type="dxa"/>
            <w:tcBorders>
              <w:top w:val="nil"/>
              <w:left w:val="nil"/>
              <w:bottom w:val="single" w:sz="4" w:space="0" w:color="D9D9D9"/>
              <w:right w:val="single" w:sz="4" w:space="0" w:color="auto"/>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27,12%</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37</w:t>
            </w:r>
          </w:p>
        </w:tc>
        <w:tc>
          <w:tcPr>
            <w:tcW w:w="286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Transporte</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219,60</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233,86</w:t>
            </w:r>
          </w:p>
        </w:tc>
        <w:tc>
          <w:tcPr>
            <w:tcW w:w="1020" w:type="dxa"/>
            <w:tcBorders>
              <w:top w:val="nil"/>
              <w:left w:val="nil"/>
              <w:bottom w:val="single" w:sz="4" w:space="0" w:color="D9D9D9"/>
              <w:right w:val="single" w:sz="4" w:space="0" w:color="D9D9D9"/>
            </w:tcBorders>
            <w:shd w:val="clear" w:color="auto" w:fill="auto"/>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6,50%</w:t>
            </w:r>
          </w:p>
        </w:tc>
        <w:tc>
          <w:tcPr>
            <w:tcW w:w="1340" w:type="dxa"/>
            <w:tcBorders>
              <w:top w:val="nil"/>
              <w:left w:val="nil"/>
              <w:bottom w:val="single" w:sz="4" w:space="0" w:color="D9D9D9"/>
              <w:right w:val="single" w:sz="4" w:space="0" w:color="auto"/>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27,60%</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38</w:t>
            </w:r>
          </w:p>
        </w:tc>
        <w:tc>
          <w:tcPr>
            <w:tcW w:w="286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 xml:space="preserve">Tubo de acero </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279,46</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290,94</w:t>
            </w:r>
          </w:p>
        </w:tc>
        <w:tc>
          <w:tcPr>
            <w:tcW w:w="102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4,11%</w:t>
            </w:r>
          </w:p>
        </w:tc>
        <w:tc>
          <w:tcPr>
            <w:tcW w:w="1340" w:type="dxa"/>
            <w:tcBorders>
              <w:top w:val="nil"/>
              <w:left w:val="nil"/>
              <w:bottom w:val="single" w:sz="4" w:space="0" w:color="D9D9D9"/>
              <w:right w:val="single" w:sz="4" w:space="0" w:color="auto"/>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61,78%</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39</w:t>
            </w:r>
          </w:p>
        </w:tc>
        <w:tc>
          <w:tcPr>
            <w:tcW w:w="286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Válvulas</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263,37</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274,20</w:t>
            </w:r>
          </w:p>
        </w:tc>
        <w:tc>
          <w:tcPr>
            <w:tcW w:w="1020" w:type="dxa"/>
            <w:tcBorders>
              <w:top w:val="nil"/>
              <w:left w:val="nil"/>
              <w:bottom w:val="single" w:sz="4" w:space="0" w:color="D9D9D9"/>
              <w:right w:val="single" w:sz="4" w:space="0" w:color="D9D9D9"/>
            </w:tcBorders>
            <w:shd w:val="clear" w:color="auto" w:fill="auto"/>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4,11%</w:t>
            </w:r>
          </w:p>
        </w:tc>
        <w:tc>
          <w:tcPr>
            <w:tcW w:w="1340" w:type="dxa"/>
            <w:tcBorders>
              <w:top w:val="nil"/>
              <w:left w:val="nil"/>
              <w:bottom w:val="single" w:sz="4" w:space="0" w:color="D9D9D9"/>
              <w:right w:val="single" w:sz="4" w:space="0" w:color="auto"/>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43,72%</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40</w:t>
            </w:r>
          </w:p>
        </w:tc>
        <w:tc>
          <w:tcPr>
            <w:tcW w:w="286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Vidrios</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191,34</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204,52</w:t>
            </w:r>
          </w:p>
        </w:tc>
        <w:tc>
          <w:tcPr>
            <w:tcW w:w="102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6,89%</w:t>
            </w:r>
          </w:p>
        </w:tc>
        <w:tc>
          <w:tcPr>
            <w:tcW w:w="1340" w:type="dxa"/>
            <w:tcBorders>
              <w:top w:val="nil"/>
              <w:left w:val="nil"/>
              <w:bottom w:val="single" w:sz="4" w:space="0" w:color="D9D9D9"/>
              <w:right w:val="single" w:sz="4" w:space="0" w:color="auto"/>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26,36%</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41</w:t>
            </w:r>
          </w:p>
        </w:tc>
        <w:tc>
          <w:tcPr>
            <w:tcW w:w="286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Carpintería de Aluminio</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135,61</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142,45</w:t>
            </w:r>
          </w:p>
        </w:tc>
        <w:tc>
          <w:tcPr>
            <w:tcW w:w="1020" w:type="dxa"/>
            <w:tcBorders>
              <w:top w:val="nil"/>
              <w:left w:val="nil"/>
              <w:bottom w:val="single" w:sz="4" w:space="0" w:color="D9D9D9"/>
              <w:right w:val="single" w:sz="4" w:space="0" w:color="D9D9D9"/>
            </w:tcBorders>
            <w:shd w:val="clear" w:color="auto" w:fill="auto"/>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5,04%</w:t>
            </w:r>
          </w:p>
        </w:tc>
        <w:tc>
          <w:tcPr>
            <w:tcW w:w="1340" w:type="dxa"/>
            <w:tcBorders>
              <w:top w:val="nil"/>
              <w:left w:val="nil"/>
              <w:bottom w:val="single" w:sz="4" w:space="0" w:color="D9D9D9"/>
              <w:right w:val="single" w:sz="4" w:space="0" w:color="auto"/>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31,33%</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42</w:t>
            </w:r>
          </w:p>
        </w:tc>
        <w:tc>
          <w:tcPr>
            <w:tcW w:w="286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Carpintería de Madera</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130,59</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133,25</w:t>
            </w:r>
          </w:p>
        </w:tc>
        <w:tc>
          <w:tcPr>
            <w:tcW w:w="102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2,04%</w:t>
            </w:r>
          </w:p>
        </w:tc>
        <w:tc>
          <w:tcPr>
            <w:tcW w:w="1340" w:type="dxa"/>
            <w:tcBorders>
              <w:top w:val="nil"/>
              <w:left w:val="nil"/>
              <w:bottom w:val="single" w:sz="4" w:space="0" w:color="D9D9D9"/>
              <w:right w:val="single" w:sz="4" w:space="0" w:color="auto"/>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23,73%</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43</w:t>
            </w:r>
          </w:p>
        </w:tc>
        <w:tc>
          <w:tcPr>
            <w:tcW w:w="286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Aisladores</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165,73</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172,19</w:t>
            </w:r>
          </w:p>
        </w:tc>
        <w:tc>
          <w:tcPr>
            <w:tcW w:w="1020" w:type="dxa"/>
            <w:tcBorders>
              <w:top w:val="nil"/>
              <w:left w:val="nil"/>
              <w:bottom w:val="single" w:sz="4" w:space="0" w:color="D9D9D9"/>
              <w:right w:val="single" w:sz="4" w:space="0" w:color="D9D9D9"/>
            </w:tcBorders>
            <w:shd w:val="clear" w:color="auto" w:fill="auto"/>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3,90%</w:t>
            </w:r>
          </w:p>
        </w:tc>
        <w:tc>
          <w:tcPr>
            <w:tcW w:w="1340" w:type="dxa"/>
            <w:tcBorders>
              <w:top w:val="nil"/>
              <w:left w:val="nil"/>
              <w:bottom w:val="single" w:sz="4" w:space="0" w:color="D9D9D9"/>
              <w:right w:val="single" w:sz="4" w:space="0" w:color="auto"/>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51,61%</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44</w:t>
            </w:r>
          </w:p>
        </w:tc>
        <w:tc>
          <w:tcPr>
            <w:tcW w:w="286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Conductores Aéreos</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181,70</w:t>
            </w:r>
          </w:p>
        </w:tc>
        <w:tc>
          <w:tcPr>
            <w:tcW w:w="94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189,16</w:t>
            </w:r>
          </w:p>
        </w:tc>
        <w:tc>
          <w:tcPr>
            <w:tcW w:w="1020" w:type="dxa"/>
            <w:tcBorders>
              <w:top w:val="nil"/>
              <w:left w:val="nil"/>
              <w:bottom w:val="single" w:sz="4" w:space="0" w:color="D9D9D9"/>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4,11%</w:t>
            </w:r>
          </w:p>
        </w:tc>
        <w:tc>
          <w:tcPr>
            <w:tcW w:w="1340" w:type="dxa"/>
            <w:tcBorders>
              <w:top w:val="nil"/>
              <w:left w:val="nil"/>
              <w:bottom w:val="single" w:sz="4" w:space="0" w:color="D9D9D9"/>
              <w:right w:val="single" w:sz="4" w:space="0" w:color="auto"/>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61,94%</w:t>
            </w:r>
          </w:p>
        </w:tc>
      </w:tr>
      <w:tr w:rsidR="00BE61DC" w:rsidRPr="00BE61DC" w:rsidTr="001C7F56">
        <w:trPr>
          <w:trHeight w:val="240"/>
          <w:jc w:val="center"/>
        </w:trPr>
        <w:tc>
          <w:tcPr>
            <w:tcW w:w="640" w:type="dxa"/>
            <w:tcBorders>
              <w:top w:val="nil"/>
              <w:left w:val="single" w:sz="4" w:space="0" w:color="auto"/>
              <w:bottom w:val="single" w:sz="4" w:space="0" w:color="D9D9D9"/>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45</w:t>
            </w:r>
          </w:p>
        </w:tc>
        <w:tc>
          <w:tcPr>
            <w:tcW w:w="286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Conductores Subterráneos</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183,70</w:t>
            </w:r>
          </w:p>
        </w:tc>
        <w:tc>
          <w:tcPr>
            <w:tcW w:w="940" w:type="dxa"/>
            <w:tcBorders>
              <w:top w:val="nil"/>
              <w:left w:val="nil"/>
              <w:bottom w:val="single" w:sz="4" w:space="0" w:color="D9D9D9"/>
              <w:right w:val="single" w:sz="4" w:space="0" w:color="D9D9D9"/>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191,25</w:t>
            </w:r>
          </w:p>
        </w:tc>
        <w:tc>
          <w:tcPr>
            <w:tcW w:w="1020" w:type="dxa"/>
            <w:tcBorders>
              <w:top w:val="nil"/>
              <w:left w:val="nil"/>
              <w:bottom w:val="single" w:sz="4" w:space="0" w:color="D9D9D9"/>
              <w:right w:val="single" w:sz="4" w:space="0" w:color="D9D9D9"/>
            </w:tcBorders>
            <w:shd w:val="clear" w:color="auto" w:fill="auto"/>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4,11%</w:t>
            </w:r>
          </w:p>
        </w:tc>
        <w:tc>
          <w:tcPr>
            <w:tcW w:w="1340" w:type="dxa"/>
            <w:tcBorders>
              <w:top w:val="nil"/>
              <w:left w:val="nil"/>
              <w:bottom w:val="single" w:sz="4" w:space="0" w:color="D9D9D9"/>
              <w:right w:val="single" w:sz="4" w:space="0" w:color="auto"/>
            </w:tcBorders>
            <w:shd w:val="clear" w:color="000000" w:fill="FFFFFF"/>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56,37%</w:t>
            </w:r>
          </w:p>
        </w:tc>
      </w:tr>
      <w:tr w:rsidR="00BE61DC" w:rsidRPr="00BE61DC" w:rsidTr="001C7F56">
        <w:trPr>
          <w:trHeight w:val="240"/>
          <w:jc w:val="center"/>
        </w:trPr>
        <w:tc>
          <w:tcPr>
            <w:tcW w:w="640" w:type="dxa"/>
            <w:tcBorders>
              <w:top w:val="nil"/>
              <w:left w:val="single" w:sz="4" w:space="0" w:color="auto"/>
              <w:bottom w:val="single" w:sz="4" w:space="0" w:color="auto"/>
              <w:right w:val="single" w:sz="4" w:space="0" w:color="D9D9D9"/>
            </w:tcBorders>
            <w:shd w:val="clear" w:color="000000" w:fill="AEAAAA"/>
            <w:noWrap/>
            <w:vAlign w:val="center"/>
            <w:hideMark/>
          </w:tcPr>
          <w:p w:rsidR="00BE61DC" w:rsidRPr="00BE61DC" w:rsidRDefault="00BE61DC" w:rsidP="00BE61DC">
            <w:pPr>
              <w:ind w:left="0"/>
              <w:jc w:val="center"/>
              <w:rPr>
                <w:rFonts w:eastAsia="Times New Roman"/>
                <w:b/>
                <w:bCs/>
                <w:color w:val="000000"/>
                <w:sz w:val="18"/>
                <w:szCs w:val="18"/>
                <w:lang w:eastAsia="es-AR"/>
              </w:rPr>
            </w:pPr>
            <w:r w:rsidRPr="00BE61DC">
              <w:rPr>
                <w:rFonts w:eastAsia="Times New Roman"/>
                <w:b/>
                <w:bCs/>
                <w:color w:val="000000"/>
                <w:sz w:val="18"/>
                <w:szCs w:val="18"/>
                <w:lang w:eastAsia="es-AR"/>
              </w:rPr>
              <w:t>46</w:t>
            </w:r>
          </w:p>
        </w:tc>
        <w:tc>
          <w:tcPr>
            <w:tcW w:w="2860" w:type="dxa"/>
            <w:tcBorders>
              <w:top w:val="nil"/>
              <w:left w:val="nil"/>
              <w:bottom w:val="single" w:sz="4" w:space="0" w:color="auto"/>
              <w:right w:val="single" w:sz="4" w:space="0" w:color="D9D9D9"/>
            </w:tcBorders>
            <w:shd w:val="clear" w:color="000000" w:fill="C9C9C9"/>
            <w:noWrap/>
            <w:vAlign w:val="center"/>
            <w:hideMark/>
          </w:tcPr>
          <w:p w:rsidR="00BE61DC" w:rsidRPr="00BE61DC" w:rsidRDefault="00BE61DC" w:rsidP="00BE61DC">
            <w:pPr>
              <w:ind w:left="0"/>
              <w:rPr>
                <w:rFonts w:eastAsia="Times New Roman"/>
                <w:color w:val="000000"/>
                <w:sz w:val="18"/>
                <w:szCs w:val="18"/>
                <w:lang w:eastAsia="es-AR"/>
              </w:rPr>
            </w:pPr>
            <w:r w:rsidRPr="00BE61DC">
              <w:rPr>
                <w:rFonts w:eastAsia="Times New Roman"/>
                <w:color w:val="000000"/>
                <w:sz w:val="18"/>
                <w:szCs w:val="18"/>
                <w:lang w:eastAsia="es-AR"/>
              </w:rPr>
              <w:t>Empalmes y terminales</w:t>
            </w:r>
          </w:p>
        </w:tc>
        <w:tc>
          <w:tcPr>
            <w:tcW w:w="940" w:type="dxa"/>
            <w:tcBorders>
              <w:top w:val="nil"/>
              <w:left w:val="nil"/>
              <w:bottom w:val="single" w:sz="4" w:space="0" w:color="auto"/>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172,85</w:t>
            </w:r>
          </w:p>
        </w:tc>
        <w:tc>
          <w:tcPr>
            <w:tcW w:w="940" w:type="dxa"/>
            <w:tcBorders>
              <w:top w:val="nil"/>
              <w:left w:val="nil"/>
              <w:bottom w:val="single" w:sz="4" w:space="0" w:color="auto"/>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179,95</w:t>
            </w:r>
          </w:p>
        </w:tc>
        <w:tc>
          <w:tcPr>
            <w:tcW w:w="1020" w:type="dxa"/>
            <w:tcBorders>
              <w:top w:val="nil"/>
              <w:left w:val="nil"/>
              <w:bottom w:val="single" w:sz="4" w:space="0" w:color="auto"/>
              <w:right w:val="single" w:sz="4" w:space="0" w:color="D9D9D9"/>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4,11%</w:t>
            </w:r>
          </w:p>
        </w:tc>
        <w:tc>
          <w:tcPr>
            <w:tcW w:w="1340" w:type="dxa"/>
            <w:tcBorders>
              <w:top w:val="nil"/>
              <w:left w:val="nil"/>
              <w:bottom w:val="single" w:sz="4" w:space="0" w:color="auto"/>
              <w:right w:val="single" w:sz="4" w:space="0" w:color="auto"/>
            </w:tcBorders>
            <w:shd w:val="clear" w:color="000000" w:fill="C9C9C9"/>
            <w:noWrap/>
            <w:vAlign w:val="center"/>
            <w:hideMark/>
          </w:tcPr>
          <w:p w:rsidR="00BE61DC" w:rsidRPr="00BE61DC" w:rsidRDefault="00BE61DC" w:rsidP="00BE61DC">
            <w:pPr>
              <w:ind w:left="0"/>
              <w:jc w:val="right"/>
              <w:rPr>
                <w:rFonts w:eastAsia="Times New Roman"/>
                <w:color w:val="000000"/>
                <w:sz w:val="18"/>
                <w:szCs w:val="18"/>
                <w:lang w:eastAsia="es-AR"/>
              </w:rPr>
            </w:pPr>
            <w:r w:rsidRPr="00BE61DC">
              <w:rPr>
                <w:rFonts w:eastAsia="Times New Roman"/>
                <w:color w:val="000000"/>
                <w:sz w:val="18"/>
                <w:szCs w:val="18"/>
                <w:lang w:eastAsia="es-AR"/>
              </w:rPr>
              <w:t>55,63%</w:t>
            </w:r>
          </w:p>
        </w:tc>
      </w:tr>
    </w:tbl>
    <w:p w:rsidR="005A5E85" w:rsidRDefault="005A5E85" w:rsidP="007317A4">
      <w:pPr>
        <w:ind w:left="0"/>
        <w:jc w:val="both"/>
        <w:rPr>
          <w:rFonts w:asciiTheme="minorHAnsi" w:hAnsiTheme="minorHAnsi"/>
          <w:sz w:val="20"/>
          <w:szCs w:val="20"/>
        </w:rPr>
      </w:pPr>
    </w:p>
    <w:p w:rsidR="009178A6" w:rsidRDefault="009178A6" w:rsidP="004D5C62">
      <w:pPr>
        <w:ind w:left="0"/>
        <w:jc w:val="both"/>
        <w:rPr>
          <w:rFonts w:asciiTheme="minorHAnsi" w:hAnsiTheme="minorHAnsi"/>
          <w:sz w:val="20"/>
          <w:szCs w:val="20"/>
        </w:rPr>
      </w:pPr>
    </w:p>
    <w:p w:rsidR="000E316F" w:rsidRPr="00BE1C0F" w:rsidRDefault="000E316F" w:rsidP="004D5C62">
      <w:pPr>
        <w:pStyle w:val="Prrafodelista"/>
        <w:ind w:left="0"/>
        <w:jc w:val="both"/>
        <w:rPr>
          <w:rFonts w:ascii="Trebuchet MS" w:hAnsi="Trebuchet MS"/>
          <w:b/>
          <w:noProof/>
          <w:color w:val="7F7F7F" w:themeColor="text1" w:themeTint="80"/>
          <w:sz w:val="96"/>
          <w:szCs w:val="96"/>
          <w:lang w:eastAsia="es-AR"/>
        </w:rPr>
      </w:pPr>
      <w:r w:rsidRPr="00BE1C0F">
        <w:rPr>
          <w:rFonts w:ascii="Trebuchet MS" w:hAnsi="Trebuchet MS"/>
          <w:b/>
          <w:noProof/>
          <w:color w:val="7F7F7F" w:themeColor="text1" w:themeTint="80"/>
          <w:sz w:val="96"/>
          <w:szCs w:val="96"/>
          <w:lang w:eastAsia="es-AR"/>
        </w:rPr>
        <w:t>I</w:t>
      </w:r>
      <w:r w:rsidR="00F06048">
        <w:rPr>
          <w:rFonts w:ascii="Trebuchet MS" w:hAnsi="Trebuchet MS"/>
          <w:b/>
          <w:noProof/>
          <w:color w:val="7F7F7F" w:themeColor="text1" w:themeTint="80"/>
          <w:sz w:val="96"/>
          <w:szCs w:val="96"/>
          <w:lang w:eastAsia="es-AR"/>
        </w:rPr>
        <w:t>OP</w:t>
      </w:r>
    </w:p>
    <w:p w:rsidR="000E316F" w:rsidRDefault="000E316F" w:rsidP="004D5C62">
      <w:pPr>
        <w:ind w:left="0"/>
        <w:jc w:val="both"/>
        <w:rPr>
          <w:rFonts w:asciiTheme="minorHAnsi" w:hAnsiTheme="minorHAnsi"/>
        </w:rPr>
      </w:pPr>
      <w:r w:rsidRPr="00E74471">
        <w:rPr>
          <w:rFonts w:asciiTheme="minorHAnsi" w:hAnsiTheme="minorHAnsi"/>
        </w:rPr>
        <w:t xml:space="preserve">El </w:t>
      </w:r>
      <w:r w:rsidRPr="00E74471">
        <w:rPr>
          <w:rFonts w:asciiTheme="minorHAnsi" w:hAnsiTheme="minorHAnsi"/>
          <w:b/>
        </w:rPr>
        <w:t xml:space="preserve">Índice de </w:t>
      </w:r>
      <w:r w:rsidR="00A906C5">
        <w:rPr>
          <w:rFonts w:asciiTheme="minorHAnsi" w:hAnsiTheme="minorHAnsi"/>
          <w:b/>
        </w:rPr>
        <w:t xml:space="preserve">Obras Públicas </w:t>
      </w:r>
      <w:r w:rsidRPr="00E74471">
        <w:rPr>
          <w:rFonts w:asciiTheme="minorHAnsi" w:hAnsiTheme="minorHAnsi"/>
          <w:b/>
        </w:rPr>
        <w:t>(I</w:t>
      </w:r>
      <w:r w:rsidR="00A906C5">
        <w:rPr>
          <w:rFonts w:asciiTheme="minorHAnsi" w:hAnsiTheme="minorHAnsi"/>
          <w:b/>
        </w:rPr>
        <w:t>OP</w:t>
      </w:r>
      <w:r w:rsidRPr="00E74471">
        <w:rPr>
          <w:rFonts w:asciiTheme="minorHAnsi" w:hAnsiTheme="minorHAnsi"/>
          <w:b/>
        </w:rPr>
        <w:t>)</w:t>
      </w:r>
      <w:r w:rsidRPr="00E74471">
        <w:rPr>
          <w:rFonts w:asciiTheme="minorHAnsi" w:hAnsiTheme="minorHAnsi"/>
        </w:rPr>
        <w:t xml:space="preserve"> mide mensualmente los cambios </w:t>
      </w:r>
      <w:r w:rsidR="00A906C5" w:rsidRPr="00A906C5">
        <w:rPr>
          <w:rFonts w:asciiTheme="minorHAnsi" w:hAnsiTheme="minorHAnsi"/>
        </w:rPr>
        <w:t>en los</w:t>
      </w:r>
      <w:r w:rsidR="00A906C5">
        <w:rPr>
          <w:rFonts w:asciiTheme="minorHAnsi" w:hAnsiTheme="minorHAnsi"/>
        </w:rPr>
        <w:t xml:space="preserve"> precios medios de los insumos </w:t>
      </w:r>
      <w:r w:rsidR="00A906C5" w:rsidRPr="00A906C5">
        <w:rPr>
          <w:rFonts w:asciiTheme="minorHAnsi" w:hAnsiTheme="minorHAnsi"/>
        </w:rPr>
        <w:t xml:space="preserve">más relevantes utilizados y consumidos en los distintos tipos de obras públicas llevadas a </w:t>
      </w:r>
      <w:r w:rsidR="00A906C5">
        <w:rPr>
          <w:rFonts w:asciiTheme="minorHAnsi" w:hAnsiTheme="minorHAnsi"/>
        </w:rPr>
        <w:t>cabo en la Provincia de Córdoba</w:t>
      </w:r>
      <w:r w:rsidRPr="00E74471">
        <w:rPr>
          <w:rFonts w:asciiTheme="minorHAnsi" w:hAnsiTheme="minorHAnsi"/>
        </w:rPr>
        <w:t xml:space="preserve">. Se calcula en base a la variación del precio medio del respectivo insumo, o como un promedio ponderado de las variaciones de los precios medios de una canasta de insumos. </w:t>
      </w:r>
    </w:p>
    <w:p w:rsidR="0088661A" w:rsidRPr="0088661A" w:rsidRDefault="0088661A" w:rsidP="0088661A">
      <w:pPr>
        <w:ind w:left="0"/>
        <w:jc w:val="both"/>
        <w:rPr>
          <w:rFonts w:asciiTheme="minorHAnsi" w:hAnsiTheme="minorHAnsi"/>
        </w:rPr>
      </w:pPr>
    </w:p>
    <w:p w:rsidR="0088661A" w:rsidRDefault="0088661A" w:rsidP="004D5C62">
      <w:pPr>
        <w:ind w:left="0"/>
        <w:jc w:val="both"/>
        <w:rPr>
          <w:rFonts w:asciiTheme="minorHAnsi" w:hAnsiTheme="minorHAnsi"/>
        </w:rPr>
      </w:pPr>
      <w:r w:rsidRPr="0088661A">
        <w:rPr>
          <w:rFonts w:asciiTheme="minorHAnsi" w:hAnsiTheme="minorHAnsi"/>
        </w:rPr>
        <w:t>El objetivo principal de estos Índices es reflejar la variación de los precios medios de una serie de factores, constituyéndose en exclusivos indicadores de referencia para la Redeterminación de Precios de Obras Públicas del Gobierno de la Provincia de Córdoba, tal como lo establece el Decreto 800/16</w:t>
      </w:r>
      <w:r w:rsidR="00894840">
        <w:rPr>
          <w:rFonts w:asciiTheme="minorHAnsi" w:hAnsiTheme="minorHAnsi"/>
        </w:rPr>
        <w:t xml:space="preserve"> </w:t>
      </w:r>
      <w:r w:rsidRPr="0088661A">
        <w:rPr>
          <w:rFonts w:asciiTheme="minorHAnsi" w:hAnsiTheme="minorHAnsi"/>
        </w:rPr>
        <w:t>y Resolución N°30 del Ministerio de Finanzas</w:t>
      </w:r>
      <w:r w:rsidR="00A107E3">
        <w:rPr>
          <w:rFonts w:asciiTheme="minorHAnsi" w:hAnsiTheme="minorHAnsi"/>
        </w:rPr>
        <w:t>.</w:t>
      </w:r>
    </w:p>
    <w:p w:rsidR="0088661A" w:rsidRDefault="0088661A" w:rsidP="004D5C62">
      <w:pPr>
        <w:ind w:left="0"/>
        <w:jc w:val="both"/>
        <w:rPr>
          <w:rFonts w:asciiTheme="minorHAnsi" w:hAnsiTheme="minorHAnsi"/>
        </w:rPr>
      </w:pPr>
    </w:p>
    <w:p w:rsidR="0088661A" w:rsidRDefault="0088661A" w:rsidP="004D5C62">
      <w:pPr>
        <w:ind w:left="0"/>
        <w:jc w:val="both"/>
        <w:rPr>
          <w:rFonts w:asciiTheme="minorHAnsi" w:hAnsiTheme="minorHAnsi"/>
        </w:rPr>
      </w:pPr>
    </w:p>
    <w:p w:rsidR="007409C9" w:rsidRDefault="00FF5A11" w:rsidP="004D5C62">
      <w:pPr>
        <w:ind w:left="0" w:firstLine="709"/>
        <w:jc w:val="both"/>
      </w:pPr>
      <w:r>
        <w:rPr>
          <w:rFonts w:asciiTheme="minorHAnsi" w:hAnsiTheme="minorHAnsi"/>
          <w:sz w:val="20"/>
          <w:szCs w:val="20"/>
        </w:rPr>
        <w:t>P</w:t>
      </w:r>
      <w:r w:rsidR="007409C9" w:rsidRPr="009C2FD4">
        <w:rPr>
          <w:rFonts w:asciiTheme="minorHAnsi" w:hAnsiTheme="minorHAnsi"/>
          <w:sz w:val="20"/>
          <w:szCs w:val="20"/>
        </w:rPr>
        <w:t xml:space="preserve">ara mayor información, por favor ingrese a la página web de la Dirección General de Estadística y Censos: </w:t>
      </w:r>
      <w:hyperlink r:id="rId8" w:history="1">
        <w:r w:rsidR="007409C9" w:rsidRPr="009C2FD4">
          <w:rPr>
            <w:rStyle w:val="Hipervnculo"/>
            <w:rFonts w:asciiTheme="minorHAnsi" w:hAnsiTheme="minorHAnsi"/>
            <w:sz w:val="20"/>
            <w:szCs w:val="20"/>
          </w:rPr>
          <w:t>http://estadistica.cba.gov.ar</w:t>
        </w:r>
      </w:hyperlink>
    </w:p>
    <w:p w:rsidR="007409C9" w:rsidRDefault="007409C9" w:rsidP="004D5C62">
      <w:pPr>
        <w:ind w:left="0" w:firstLine="709"/>
        <w:jc w:val="both"/>
      </w:pPr>
    </w:p>
    <w:p w:rsidR="007409C9" w:rsidRPr="009C2FD4" w:rsidRDefault="007409C9" w:rsidP="004D5C62">
      <w:pPr>
        <w:ind w:left="0"/>
        <w:jc w:val="both"/>
        <w:rPr>
          <w:rFonts w:asciiTheme="minorHAnsi" w:hAnsiTheme="minorHAnsi"/>
          <w:sz w:val="20"/>
          <w:szCs w:val="20"/>
        </w:rPr>
      </w:pPr>
      <w:r w:rsidRPr="009C2FD4">
        <w:rPr>
          <w:rFonts w:asciiTheme="minorHAnsi" w:hAnsiTheme="minorHAnsi"/>
          <w:sz w:val="20"/>
          <w:szCs w:val="20"/>
        </w:rPr>
        <w:t>Dirección General de Estadística y Censos</w:t>
      </w:r>
    </w:p>
    <w:p w:rsidR="007409C9" w:rsidRPr="009C2FD4" w:rsidRDefault="007409C9" w:rsidP="004D5C62">
      <w:pPr>
        <w:ind w:left="0"/>
        <w:jc w:val="both"/>
        <w:rPr>
          <w:rFonts w:asciiTheme="minorHAnsi" w:hAnsiTheme="minorHAnsi"/>
          <w:sz w:val="20"/>
          <w:szCs w:val="20"/>
        </w:rPr>
      </w:pPr>
      <w:r w:rsidRPr="009C2FD4">
        <w:rPr>
          <w:rFonts w:asciiTheme="minorHAnsi" w:hAnsiTheme="minorHAnsi"/>
          <w:sz w:val="20"/>
          <w:szCs w:val="20"/>
        </w:rPr>
        <w:t>Gobierno de la Provincia de Córdoba</w:t>
      </w:r>
    </w:p>
    <w:p w:rsidR="007409C9" w:rsidRDefault="007409C9" w:rsidP="001A6D51">
      <w:pPr>
        <w:ind w:left="0"/>
        <w:jc w:val="both"/>
        <w:rPr>
          <w:rFonts w:asciiTheme="minorHAnsi" w:hAnsiTheme="minorHAnsi"/>
          <w:sz w:val="20"/>
          <w:szCs w:val="20"/>
        </w:rPr>
      </w:pPr>
      <w:r w:rsidRPr="009C2FD4">
        <w:rPr>
          <w:rFonts w:asciiTheme="minorHAnsi" w:hAnsiTheme="minorHAnsi"/>
          <w:sz w:val="20"/>
          <w:szCs w:val="20"/>
        </w:rPr>
        <w:t>Tel. 0351-4476053/51</w:t>
      </w:r>
    </w:p>
    <w:p w:rsidR="007409C9" w:rsidRPr="009C2FD4" w:rsidRDefault="007409C9" w:rsidP="004D5C62">
      <w:pPr>
        <w:ind w:left="0" w:firstLine="709"/>
        <w:jc w:val="both"/>
        <w:rPr>
          <w:rFonts w:asciiTheme="minorHAnsi" w:hAnsiTheme="minorHAnsi"/>
          <w:sz w:val="20"/>
          <w:szCs w:val="20"/>
        </w:rPr>
      </w:pPr>
    </w:p>
    <w:p w:rsidR="00E87E1B" w:rsidRPr="009C2FD4" w:rsidRDefault="000C6508" w:rsidP="004D5C62">
      <w:pPr>
        <w:tabs>
          <w:tab w:val="left" w:pos="7037"/>
        </w:tabs>
        <w:jc w:val="both"/>
        <w:rPr>
          <w:rFonts w:asciiTheme="minorHAnsi" w:hAnsiTheme="minorHAnsi"/>
          <w:sz w:val="20"/>
          <w:szCs w:val="20"/>
        </w:rPr>
      </w:pPr>
      <w:r w:rsidRPr="009C2FD4">
        <w:rPr>
          <w:rFonts w:asciiTheme="minorHAnsi" w:hAnsiTheme="minorHAnsi"/>
          <w:sz w:val="20"/>
          <w:szCs w:val="20"/>
        </w:rPr>
        <w:tab/>
      </w:r>
    </w:p>
    <w:sectPr w:rsidR="00E87E1B" w:rsidRPr="009C2FD4" w:rsidSect="00A95705">
      <w:headerReference w:type="default" r:id="rId9"/>
      <w:footerReference w:type="default" r:id="rId10"/>
      <w:pgSz w:w="11907" w:h="16839" w:code="9"/>
      <w:pgMar w:top="1701" w:right="1559" w:bottom="1134" w:left="1418" w:header="567" w:footer="1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AF3" w:rsidRDefault="000F2AF3" w:rsidP="00B44F0F">
      <w:r>
        <w:separator/>
      </w:r>
    </w:p>
  </w:endnote>
  <w:endnote w:type="continuationSeparator" w:id="0">
    <w:p w:rsidR="000F2AF3" w:rsidRDefault="000F2AF3" w:rsidP="00B4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FBC" w:rsidRPr="00391878" w:rsidRDefault="00EB1FBC" w:rsidP="00391878">
    <w:pPr>
      <w:pStyle w:val="Encabezado"/>
      <w:ind w:left="0"/>
      <w:jc w:val="center"/>
      <w:rPr>
        <w:rFonts w:ascii="Arial" w:hAnsi="Arial" w:cs="Arial"/>
        <w:b/>
        <w:sz w:val="16"/>
        <w:szCs w:val="16"/>
      </w:rPr>
    </w:pPr>
    <w:r w:rsidRPr="00391878">
      <w:rPr>
        <w:rFonts w:ascii="Arial" w:hAnsi="Arial" w:cs="Arial"/>
        <w:b/>
        <w:sz w:val="16"/>
        <w:szCs w:val="16"/>
      </w:rPr>
      <w:t>Dirección General de Estadística y Censos</w:t>
    </w:r>
  </w:p>
  <w:p w:rsidR="00EB1FBC" w:rsidRPr="002F1F76" w:rsidRDefault="00EB1FBC" w:rsidP="00391878">
    <w:pPr>
      <w:pStyle w:val="Piedepgina"/>
      <w:jc w:val="center"/>
      <w:rPr>
        <w:rFonts w:ascii="Arial" w:hAnsi="Arial" w:cs="Arial"/>
        <w:sz w:val="16"/>
        <w:szCs w:val="16"/>
      </w:rPr>
    </w:pPr>
    <w:proofErr w:type="spellStart"/>
    <w:r w:rsidRPr="002F1F76">
      <w:rPr>
        <w:rFonts w:ascii="Arial" w:hAnsi="Arial" w:cs="Arial"/>
        <w:sz w:val="16"/>
        <w:szCs w:val="16"/>
      </w:rPr>
      <w:t>Ituzaingó</w:t>
    </w:r>
    <w:proofErr w:type="spellEnd"/>
    <w:r w:rsidRPr="002F1F76">
      <w:rPr>
        <w:rFonts w:ascii="Arial" w:hAnsi="Arial" w:cs="Arial"/>
        <w:sz w:val="16"/>
        <w:szCs w:val="16"/>
      </w:rPr>
      <w:t xml:space="preserve"> 1351 - Nueva Córdob</w:t>
    </w:r>
    <w:r>
      <w:rPr>
        <w:rFonts w:ascii="Arial" w:hAnsi="Arial" w:cs="Arial"/>
        <w:sz w:val="16"/>
        <w:szCs w:val="16"/>
      </w:rPr>
      <w:t>a - Tel 54 351 4476053 / 4476051</w:t>
    </w:r>
  </w:p>
  <w:p w:rsidR="00EB1FBC" w:rsidRPr="002F1F76" w:rsidRDefault="00EB1FBC" w:rsidP="00391878">
    <w:pPr>
      <w:pStyle w:val="Piedepgina"/>
      <w:tabs>
        <w:tab w:val="center" w:pos="4998"/>
        <w:tab w:val="right" w:pos="9639"/>
      </w:tabs>
      <w:jc w:val="center"/>
      <w:rPr>
        <w:rFonts w:ascii="Arial" w:hAnsi="Arial" w:cs="Arial"/>
        <w:sz w:val="16"/>
        <w:szCs w:val="16"/>
      </w:rPr>
    </w:pPr>
    <w:r w:rsidRPr="002F1F76">
      <w:rPr>
        <w:rFonts w:ascii="Arial" w:hAnsi="Arial" w:cs="Arial"/>
        <w:sz w:val="16"/>
        <w:szCs w:val="16"/>
      </w:rPr>
      <w:t>http://estadistica.cba.gov.ar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AF3" w:rsidRDefault="000F2AF3" w:rsidP="00B44F0F">
      <w:r>
        <w:separator/>
      </w:r>
    </w:p>
  </w:footnote>
  <w:footnote w:type="continuationSeparator" w:id="0">
    <w:p w:rsidR="000F2AF3" w:rsidRDefault="000F2AF3" w:rsidP="00B44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FBC" w:rsidRDefault="00EB1FBC" w:rsidP="00004AED">
    <w:pPr>
      <w:pStyle w:val="Encabezado"/>
      <w:ind w:left="-567"/>
      <w:jc w:val="center"/>
      <w:rPr>
        <w:rFonts w:ascii="Arial" w:hAnsi="Arial" w:cs="Arial"/>
        <w:b/>
        <w:sz w:val="18"/>
        <w:szCs w:val="18"/>
      </w:rPr>
    </w:pPr>
    <w:r>
      <w:rPr>
        <w:rFonts w:ascii="Arial" w:hAnsi="Arial" w:cs="Arial"/>
        <w:b/>
        <w:noProof/>
        <w:sz w:val="18"/>
        <w:szCs w:val="18"/>
        <w:lang w:eastAsia="es-AR"/>
      </w:rPr>
      <w:drawing>
        <wp:inline distT="0" distB="0" distL="0" distR="0">
          <wp:extent cx="6289200" cy="792000"/>
          <wp:effectExtent l="0" t="0" r="0" b="825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9200" cy="792000"/>
                  </a:xfrm>
                  <a:prstGeom prst="rect">
                    <a:avLst/>
                  </a:prstGeom>
                  <a:noFill/>
                  <a:ln>
                    <a:noFill/>
                  </a:ln>
                </pic:spPr>
              </pic:pic>
            </a:graphicData>
          </a:graphic>
        </wp:inline>
      </w:drawing>
    </w:r>
  </w:p>
  <w:p w:rsidR="00EB1FBC" w:rsidRPr="002F1F76" w:rsidRDefault="00EB1FBC" w:rsidP="00391878">
    <w:pPr>
      <w:pStyle w:val="Encabezado"/>
      <w:ind w:left="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0675D"/>
    <w:multiLevelType w:val="hybridMultilevel"/>
    <w:tmpl w:val="2BC45204"/>
    <w:lvl w:ilvl="0" w:tplc="E5162E8C">
      <w:start w:val="1"/>
      <w:numFmt w:val="decimal"/>
      <w:lvlText w:val="(%1)"/>
      <w:lvlJc w:val="left"/>
      <w:pPr>
        <w:ind w:left="1215" w:hanging="360"/>
      </w:pPr>
      <w:rPr>
        <w:rFonts w:hint="default"/>
      </w:rPr>
    </w:lvl>
    <w:lvl w:ilvl="1" w:tplc="2C0A0019" w:tentative="1">
      <w:start w:val="1"/>
      <w:numFmt w:val="lowerLetter"/>
      <w:lvlText w:val="%2."/>
      <w:lvlJc w:val="left"/>
      <w:pPr>
        <w:ind w:left="1935" w:hanging="360"/>
      </w:pPr>
    </w:lvl>
    <w:lvl w:ilvl="2" w:tplc="2C0A001B" w:tentative="1">
      <w:start w:val="1"/>
      <w:numFmt w:val="lowerRoman"/>
      <w:lvlText w:val="%3."/>
      <w:lvlJc w:val="right"/>
      <w:pPr>
        <w:ind w:left="2655" w:hanging="180"/>
      </w:pPr>
    </w:lvl>
    <w:lvl w:ilvl="3" w:tplc="2C0A000F" w:tentative="1">
      <w:start w:val="1"/>
      <w:numFmt w:val="decimal"/>
      <w:lvlText w:val="%4."/>
      <w:lvlJc w:val="left"/>
      <w:pPr>
        <w:ind w:left="3375" w:hanging="360"/>
      </w:pPr>
    </w:lvl>
    <w:lvl w:ilvl="4" w:tplc="2C0A0019" w:tentative="1">
      <w:start w:val="1"/>
      <w:numFmt w:val="lowerLetter"/>
      <w:lvlText w:val="%5."/>
      <w:lvlJc w:val="left"/>
      <w:pPr>
        <w:ind w:left="4095" w:hanging="360"/>
      </w:pPr>
    </w:lvl>
    <w:lvl w:ilvl="5" w:tplc="2C0A001B" w:tentative="1">
      <w:start w:val="1"/>
      <w:numFmt w:val="lowerRoman"/>
      <w:lvlText w:val="%6."/>
      <w:lvlJc w:val="right"/>
      <w:pPr>
        <w:ind w:left="4815" w:hanging="180"/>
      </w:pPr>
    </w:lvl>
    <w:lvl w:ilvl="6" w:tplc="2C0A000F" w:tentative="1">
      <w:start w:val="1"/>
      <w:numFmt w:val="decimal"/>
      <w:lvlText w:val="%7."/>
      <w:lvlJc w:val="left"/>
      <w:pPr>
        <w:ind w:left="5535" w:hanging="360"/>
      </w:pPr>
    </w:lvl>
    <w:lvl w:ilvl="7" w:tplc="2C0A0019" w:tentative="1">
      <w:start w:val="1"/>
      <w:numFmt w:val="lowerLetter"/>
      <w:lvlText w:val="%8."/>
      <w:lvlJc w:val="left"/>
      <w:pPr>
        <w:ind w:left="6255" w:hanging="360"/>
      </w:pPr>
    </w:lvl>
    <w:lvl w:ilvl="8" w:tplc="2C0A001B" w:tentative="1">
      <w:start w:val="1"/>
      <w:numFmt w:val="lowerRoman"/>
      <w:lvlText w:val="%9."/>
      <w:lvlJc w:val="right"/>
      <w:pPr>
        <w:ind w:left="6975" w:hanging="180"/>
      </w:pPr>
    </w:lvl>
  </w:abstractNum>
  <w:abstractNum w:abstractNumId="1" w15:restartNumberingAfterBreak="0">
    <w:nsid w:val="593A4C63"/>
    <w:multiLevelType w:val="hybridMultilevel"/>
    <w:tmpl w:val="5D944B10"/>
    <w:lvl w:ilvl="0" w:tplc="C1429A3A">
      <w:start w:val="1"/>
      <w:numFmt w:val="decimal"/>
      <w:lvlText w:val="(%1)"/>
      <w:lvlJc w:val="left"/>
      <w:pPr>
        <w:ind w:left="1167" w:hanging="360"/>
      </w:pPr>
      <w:rPr>
        <w:rFonts w:hint="default"/>
      </w:rPr>
    </w:lvl>
    <w:lvl w:ilvl="1" w:tplc="2C0A0019" w:tentative="1">
      <w:start w:val="1"/>
      <w:numFmt w:val="lowerLetter"/>
      <w:lvlText w:val="%2."/>
      <w:lvlJc w:val="left"/>
      <w:pPr>
        <w:ind w:left="1887" w:hanging="360"/>
      </w:pPr>
    </w:lvl>
    <w:lvl w:ilvl="2" w:tplc="2C0A001B" w:tentative="1">
      <w:start w:val="1"/>
      <w:numFmt w:val="lowerRoman"/>
      <w:lvlText w:val="%3."/>
      <w:lvlJc w:val="right"/>
      <w:pPr>
        <w:ind w:left="2607" w:hanging="180"/>
      </w:pPr>
    </w:lvl>
    <w:lvl w:ilvl="3" w:tplc="2C0A000F" w:tentative="1">
      <w:start w:val="1"/>
      <w:numFmt w:val="decimal"/>
      <w:lvlText w:val="%4."/>
      <w:lvlJc w:val="left"/>
      <w:pPr>
        <w:ind w:left="3327" w:hanging="360"/>
      </w:pPr>
    </w:lvl>
    <w:lvl w:ilvl="4" w:tplc="2C0A0019" w:tentative="1">
      <w:start w:val="1"/>
      <w:numFmt w:val="lowerLetter"/>
      <w:lvlText w:val="%5."/>
      <w:lvlJc w:val="left"/>
      <w:pPr>
        <w:ind w:left="4047" w:hanging="360"/>
      </w:pPr>
    </w:lvl>
    <w:lvl w:ilvl="5" w:tplc="2C0A001B" w:tentative="1">
      <w:start w:val="1"/>
      <w:numFmt w:val="lowerRoman"/>
      <w:lvlText w:val="%6."/>
      <w:lvlJc w:val="right"/>
      <w:pPr>
        <w:ind w:left="4767" w:hanging="180"/>
      </w:pPr>
    </w:lvl>
    <w:lvl w:ilvl="6" w:tplc="2C0A000F" w:tentative="1">
      <w:start w:val="1"/>
      <w:numFmt w:val="decimal"/>
      <w:lvlText w:val="%7."/>
      <w:lvlJc w:val="left"/>
      <w:pPr>
        <w:ind w:left="5487" w:hanging="360"/>
      </w:pPr>
    </w:lvl>
    <w:lvl w:ilvl="7" w:tplc="2C0A0019" w:tentative="1">
      <w:start w:val="1"/>
      <w:numFmt w:val="lowerLetter"/>
      <w:lvlText w:val="%8."/>
      <w:lvlJc w:val="left"/>
      <w:pPr>
        <w:ind w:left="6207" w:hanging="360"/>
      </w:pPr>
    </w:lvl>
    <w:lvl w:ilvl="8" w:tplc="2C0A001B" w:tentative="1">
      <w:start w:val="1"/>
      <w:numFmt w:val="lowerRoman"/>
      <w:lvlText w:val="%9."/>
      <w:lvlJc w:val="right"/>
      <w:pPr>
        <w:ind w:left="692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487"/>
    <w:rsid w:val="00004AED"/>
    <w:rsid w:val="0001218B"/>
    <w:rsid w:val="00023F63"/>
    <w:rsid w:val="000469A9"/>
    <w:rsid w:val="0005513A"/>
    <w:rsid w:val="000622A9"/>
    <w:rsid w:val="00093FA8"/>
    <w:rsid w:val="000B6BB0"/>
    <w:rsid w:val="000C4262"/>
    <w:rsid w:val="000C6508"/>
    <w:rsid w:val="000E11CB"/>
    <w:rsid w:val="000E316F"/>
    <w:rsid w:val="000F2AF3"/>
    <w:rsid w:val="0010275D"/>
    <w:rsid w:val="00123558"/>
    <w:rsid w:val="00136674"/>
    <w:rsid w:val="00141FFD"/>
    <w:rsid w:val="00155309"/>
    <w:rsid w:val="00176F06"/>
    <w:rsid w:val="00181E30"/>
    <w:rsid w:val="001A3D6E"/>
    <w:rsid w:val="001A6D51"/>
    <w:rsid w:val="001B2791"/>
    <w:rsid w:val="001C19EB"/>
    <w:rsid w:val="001C4DD0"/>
    <w:rsid w:val="001C7F56"/>
    <w:rsid w:val="001E6E59"/>
    <w:rsid w:val="00201D65"/>
    <w:rsid w:val="0020798A"/>
    <w:rsid w:val="002101B4"/>
    <w:rsid w:val="0021406A"/>
    <w:rsid w:val="00232D31"/>
    <w:rsid w:val="002537D0"/>
    <w:rsid w:val="002700C5"/>
    <w:rsid w:val="002708F8"/>
    <w:rsid w:val="0027357E"/>
    <w:rsid w:val="00290068"/>
    <w:rsid w:val="00297628"/>
    <w:rsid w:val="002A1B07"/>
    <w:rsid w:val="002A6022"/>
    <w:rsid w:val="002B00E9"/>
    <w:rsid w:val="002B1B73"/>
    <w:rsid w:val="002B2BA8"/>
    <w:rsid w:val="002C6883"/>
    <w:rsid w:val="002F1F76"/>
    <w:rsid w:val="002F7AEE"/>
    <w:rsid w:val="00301F92"/>
    <w:rsid w:val="003114F1"/>
    <w:rsid w:val="00316FB7"/>
    <w:rsid w:val="00326703"/>
    <w:rsid w:val="00327C99"/>
    <w:rsid w:val="00347DEA"/>
    <w:rsid w:val="0035308D"/>
    <w:rsid w:val="003545DB"/>
    <w:rsid w:val="00355999"/>
    <w:rsid w:val="00366A51"/>
    <w:rsid w:val="00373E75"/>
    <w:rsid w:val="00383E2C"/>
    <w:rsid w:val="00391878"/>
    <w:rsid w:val="00395689"/>
    <w:rsid w:val="003A4BF2"/>
    <w:rsid w:val="003B73D7"/>
    <w:rsid w:val="003C6AB3"/>
    <w:rsid w:val="003D0EC1"/>
    <w:rsid w:val="003E2E60"/>
    <w:rsid w:val="003F4248"/>
    <w:rsid w:val="004042B6"/>
    <w:rsid w:val="00434F38"/>
    <w:rsid w:val="0048347C"/>
    <w:rsid w:val="0049008F"/>
    <w:rsid w:val="004A0487"/>
    <w:rsid w:val="004B0AA0"/>
    <w:rsid w:val="004B72BF"/>
    <w:rsid w:val="004D41B6"/>
    <w:rsid w:val="004D5C62"/>
    <w:rsid w:val="004E59F4"/>
    <w:rsid w:val="004F0EEC"/>
    <w:rsid w:val="004F67A4"/>
    <w:rsid w:val="00522E89"/>
    <w:rsid w:val="005330D8"/>
    <w:rsid w:val="0054507D"/>
    <w:rsid w:val="005475E7"/>
    <w:rsid w:val="0055585F"/>
    <w:rsid w:val="00563FBD"/>
    <w:rsid w:val="00565152"/>
    <w:rsid w:val="005932BC"/>
    <w:rsid w:val="005952E1"/>
    <w:rsid w:val="00595FBC"/>
    <w:rsid w:val="005A23A2"/>
    <w:rsid w:val="005A5E85"/>
    <w:rsid w:val="005C013E"/>
    <w:rsid w:val="005C1DA4"/>
    <w:rsid w:val="005C2B7D"/>
    <w:rsid w:val="005E3E85"/>
    <w:rsid w:val="005E76FF"/>
    <w:rsid w:val="005F31DD"/>
    <w:rsid w:val="006134F4"/>
    <w:rsid w:val="0061517D"/>
    <w:rsid w:val="00622F80"/>
    <w:rsid w:val="00624B33"/>
    <w:rsid w:val="0063217E"/>
    <w:rsid w:val="00635B72"/>
    <w:rsid w:val="0063603A"/>
    <w:rsid w:val="0064423A"/>
    <w:rsid w:val="006660A9"/>
    <w:rsid w:val="00672230"/>
    <w:rsid w:val="006805C9"/>
    <w:rsid w:val="00696A56"/>
    <w:rsid w:val="006A0D6E"/>
    <w:rsid w:val="006A4B81"/>
    <w:rsid w:val="006C5068"/>
    <w:rsid w:val="006D5E20"/>
    <w:rsid w:val="006E156C"/>
    <w:rsid w:val="006E23CD"/>
    <w:rsid w:val="006F6607"/>
    <w:rsid w:val="00712455"/>
    <w:rsid w:val="007229AB"/>
    <w:rsid w:val="007241DA"/>
    <w:rsid w:val="007317A4"/>
    <w:rsid w:val="007409C9"/>
    <w:rsid w:val="007471DA"/>
    <w:rsid w:val="007534BD"/>
    <w:rsid w:val="007607B0"/>
    <w:rsid w:val="00760BF2"/>
    <w:rsid w:val="00764642"/>
    <w:rsid w:val="0076534E"/>
    <w:rsid w:val="007876FE"/>
    <w:rsid w:val="007972BC"/>
    <w:rsid w:val="007C1CD2"/>
    <w:rsid w:val="007E088A"/>
    <w:rsid w:val="007F3B46"/>
    <w:rsid w:val="0081344F"/>
    <w:rsid w:val="00816638"/>
    <w:rsid w:val="00827974"/>
    <w:rsid w:val="00830EFD"/>
    <w:rsid w:val="0083726D"/>
    <w:rsid w:val="00840CAE"/>
    <w:rsid w:val="00851ACA"/>
    <w:rsid w:val="0085588F"/>
    <w:rsid w:val="00857F7D"/>
    <w:rsid w:val="008838F3"/>
    <w:rsid w:val="00885CC1"/>
    <w:rsid w:val="0088661A"/>
    <w:rsid w:val="00894840"/>
    <w:rsid w:val="008B4F8D"/>
    <w:rsid w:val="008E49DA"/>
    <w:rsid w:val="009012D2"/>
    <w:rsid w:val="00902301"/>
    <w:rsid w:val="00904245"/>
    <w:rsid w:val="009044A9"/>
    <w:rsid w:val="009103AD"/>
    <w:rsid w:val="0091704E"/>
    <w:rsid w:val="00917331"/>
    <w:rsid w:val="009178A6"/>
    <w:rsid w:val="00925EEA"/>
    <w:rsid w:val="009274D1"/>
    <w:rsid w:val="00934D4A"/>
    <w:rsid w:val="009367D2"/>
    <w:rsid w:val="0097304E"/>
    <w:rsid w:val="00976191"/>
    <w:rsid w:val="00981531"/>
    <w:rsid w:val="0098534D"/>
    <w:rsid w:val="00997B0D"/>
    <w:rsid w:val="009A253C"/>
    <w:rsid w:val="009C2FD4"/>
    <w:rsid w:val="009E69B1"/>
    <w:rsid w:val="00A06EDB"/>
    <w:rsid w:val="00A107E3"/>
    <w:rsid w:val="00A42249"/>
    <w:rsid w:val="00A51970"/>
    <w:rsid w:val="00A751C5"/>
    <w:rsid w:val="00A76852"/>
    <w:rsid w:val="00A81674"/>
    <w:rsid w:val="00A906C5"/>
    <w:rsid w:val="00A95705"/>
    <w:rsid w:val="00A95CFF"/>
    <w:rsid w:val="00A96067"/>
    <w:rsid w:val="00AB2567"/>
    <w:rsid w:val="00AC0A77"/>
    <w:rsid w:val="00AD6D38"/>
    <w:rsid w:val="00AF045F"/>
    <w:rsid w:val="00AF1893"/>
    <w:rsid w:val="00B17691"/>
    <w:rsid w:val="00B17F60"/>
    <w:rsid w:val="00B248F6"/>
    <w:rsid w:val="00B44F0F"/>
    <w:rsid w:val="00B502E4"/>
    <w:rsid w:val="00B76455"/>
    <w:rsid w:val="00B85C80"/>
    <w:rsid w:val="00BC3365"/>
    <w:rsid w:val="00BD13D2"/>
    <w:rsid w:val="00BD1BD1"/>
    <w:rsid w:val="00BD6E68"/>
    <w:rsid w:val="00BE5521"/>
    <w:rsid w:val="00BE61DC"/>
    <w:rsid w:val="00BF6D02"/>
    <w:rsid w:val="00C14763"/>
    <w:rsid w:val="00C16B29"/>
    <w:rsid w:val="00C4344F"/>
    <w:rsid w:val="00C55B87"/>
    <w:rsid w:val="00C743E9"/>
    <w:rsid w:val="00C833C4"/>
    <w:rsid w:val="00CA67F8"/>
    <w:rsid w:val="00CE66F5"/>
    <w:rsid w:val="00D04F4A"/>
    <w:rsid w:val="00D1066B"/>
    <w:rsid w:val="00D120E6"/>
    <w:rsid w:val="00D270A7"/>
    <w:rsid w:val="00D32ED4"/>
    <w:rsid w:val="00D35052"/>
    <w:rsid w:val="00D37170"/>
    <w:rsid w:val="00D53DD4"/>
    <w:rsid w:val="00D60A2E"/>
    <w:rsid w:val="00D754FB"/>
    <w:rsid w:val="00D766A3"/>
    <w:rsid w:val="00D93B32"/>
    <w:rsid w:val="00D95F2F"/>
    <w:rsid w:val="00DB58EE"/>
    <w:rsid w:val="00E12BC2"/>
    <w:rsid w:val="00E41830"/>
    <w:rsid w:val="00E53128"/>
    <w:rsid w:val="00E74471"/>
    <w:rsid w:val="00E7590D"/>
    <w:rsid w:val="00E82008"/>
    <w:rsid w:val="00E85EAC"/>
    <w:rsid w:val="00E87E1B"/>
    <w:rsid w:val="00E936F8"/>
    <w:rsid w:val="00EB1FBC"/>
    <w:rsid w:val="00EB3107"/>
    <w:rsid w:val="00ED2592"/>
    <w:rsid w:val="00EE29FD"/>
    <w:rsid w:val="00EF0959"/>
    <w:rsid w:val="00EF6CAF"/>
    <w:rsid w:val="00F06048"/>
    <w:rsid w:val="00F14E5D"/>
    <w:rsid w:val="00F16520"/>
    <w:rsid w:val="00F57A04"/>
    <w:rsid w:val="00F601A2"/>
    <w:rsid w:val="00F70EB1"/>
    <w:rsid w:val="00FC3613"/>
    <w:rsid w:val="00FE0ECE"/>
    <w:rsid w:val="00FF5A1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5:docId w15:val="{F39192D0-4FD9-4E01-B9D9-8F7E7FF7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E1B"/>
    <w:pPr>
      <w:ind w:left="357"/>
    </w:pPr>
    <w:rPr>
      <w:sz w:val="22"/>
      <w:szCs w:val="22"/>
      <w:lang w:eastAsia="en-US"/>
    </w:rPr>
  </w:style>
  <w:style w:type="paragraph" w:styleId="Ttulo1">
    <w:name w:val="heading 1"/>
    <w:basedOn w:val="Normal"/>
    <w:next w:val="Normal"/>
    <w:link w:val="Ttulo1Car"/>
    <w:uiPriority w:val="9"/>
    <w:qFormat/>
    <w:rsid w:val="00B44F0F"/>
    <w:pPr>
      <w:keepNext/>
      <w:keepLines/>
      <w:spacing w:before="480"/>
      <w:outlineLvl w:val="0"/>
    </w:pPr>
    <w:rPr>
      <w:rFonts w:ascii="Cambria" w:eastAsia="Times New Roman"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44F0F"/>
    <w:rPr>
      <w:rFonts w:ascii="Cambria" w:eastAsia="Times New Roman" w:hAnsi="Cambria" w:cs="Times New Roman"/>
      <w:b/>
      <w:bCs/>
      <w:color w:val="365F91"/>
      <w:sz w:val="28"/>
      <w:szCs w:val="28"/>
    </w:rPr>
  </w:style>
  <w:style w:type="paragraph" w:styleId="Encabezado">
    <w:name w:val="header"/>
    <w:basedOn w:val="Normal"/>
    <w:link w:val="EncabezadoCar"/>
    <w:uiPriority w:val="99"/>
    <w:unhideWhenUsed/>
    <w:rsid w:val="00B44F0F"/>
    <w:pPr>
      <w:tabs>
        <w:tab w:val="center" w:pos="4419"/>
        <w:tab w:val="right" w:pos="8838"/>
      </w:tabs>
    </w:pPr>
  </w:style>
  <w:style w:type="character" w:customStyle="1" w:styleId="EncabezadoCar">
    <w:name w:val="Encabezado Car"/>
    <w:basedOn w:val="Fuentedeprrafopredeter"/>
    <w:link w:val="Encabezado"/>
    <w:uiPriority w:val="99"/>
    <w:rsid w:val="00B44F0F"/>
  </w:style>
  <w:style w:type="paragraph" w:styleId="Piedepgina">
    <w:name w:val="footer"/>
    <w:basedOn w:val="Normal"/>
    <w:link w:val="PiedepginaCar"/>
    <w:uiPriority w:val="99"/>
    <w:unhideWhenUsed/>
    <w:rsid w:val="00B44F0F"/>
    <w:pPr>
      <w:tabs>
        <w:tab w:val="center" w:pos="4419"/>
        <w:tab w:val="right" w:pos="8838"/>
      </w:tabs>
    </w:pPr>
  </w:style>
  <w:style w:type="character" w:customStyle="1" w:styleId="PiedepginaCar">
    <w:name w:val="Pie de página Car"/>
    <w:basedOn w:val="Fuentedeprrafopredeter"/>
    <w:link w:val="Piedepgina"/>
    <w:uiPriority w:val="99"/>
    <w:rsid w:val="00B44F0F"/>
  </w:style>
  <w:style w:type="paragraph" w:customStyle="1" w:styleId="B097310B617449ED92DCB4B3F3507898">
    <w:name w:val="B097310B617449ED92DCB4B3F3507898"/>
    <w:rsid w:val="00B44F0F"/>
    <w:pPr>
      <w:spacing w:after="200" w:line="276" w:lineRule="auto"/>
    </w:pPr>
    <w:rPr>
      <w:rFonts w:eastAsia="Times New Roman"/>
      <w:sz w:val="22"/>
      <w:szCs w:val="22"/>
      <w:lang w:val="en-US" w:eastAsia="en-US"/>
    </w:rPr>
  </w:style>
  <w:style w:type="paragraph" w:styleId="Textodeglobo">
    <w:name w:val="Balloon Text"/>
    <w:basedOn w:val="Normal"/>
    <w:link w:val="TextodegloboCar"/>
    <w:uiPriority w:val="99"/>
    <w:semiHidden/>
    <w:unhideWhenUsed/>
    <w:rsid w:val="00B44F0F"/>
    <w:rPr>
      <w:rFonts w:ascii="Tahoma" w:hAnsi="Tahoma" w:cs="Tahoma"/>
      <w:sz w:val="16"/>
      <w:szCs w:val="16"/>
    </w:rPr>
  </w:style>
  <w:style w:type="character" w:customStyle="1" w:styleId="TextodegloboCar">
    <w:name w:val="Texto de globo Car"/>
    <w:link w:val="Textodeglobo"/>
    <w:uiPriority w:val="99"/>
    <w:semiHidden/>
    <w:rsid w:val="00B44F0F"/>
    <w:rPr>
      <w:rFonts w:ascii="Tahoma" w:hAnsi="Tahoma" w:cs="Tahoma"/>
      <w:sz w:val="16"/>
      <w:szCs w:val="16"/>
    </w:rPr>
  </w:style>
  <w:style w:type="paragraph" w:customStyle="1" w:styleId="Default">
    <w:name w:val="Default"/>
    <w:rsid w:val="004A0487"/>
    <w:pPr>
      <w:autoSpaceDE w:val="0"/>
      <w:autoSpaceDN w:val="0"/>
      <w:adjustRightInd w:val="0"/>
    </w:pPr>
    <w:rPr>
      <w:rFonts w:ascii="Tahoma" w:hAnsi="Tahoma" w:cs="Tahoma"/>
      <w:color w:val="000000"/>
      <w:sz w:val="24"/>
      <w:szCs w:val="24"/>
    </w:rPr>
  </w:style>
  <w:style w:type="character" w:styleId="Hipervnculo">
    <w:name w:val="Hyperlink"/>
    <w:basedOn w:val="Fuentedeprrafopredeter"/>
    <w:uiPriority w:val="99"/>
    <w:unhideWhenUsed/>
    <w:rsid w:val="00EF6CAF"/>
    <w:rPr>
      <w:color w:val="0000FF" w:themeColor="hyperlink"/>
      <w:u w:val="single"/>
    </w:rPr>
  </w:style>
  <w:style w:type="paragraph" w:styleId="Textonotapie">
    <w:name w:val="footnote text"/>
    <w:basedOn w:val="Normal"/>
    <w:link w:val="TextonotapieCar"/>
    <w:uiPriority w:val="99"/>
    <w:semiHidden/>
    <w:unhideWhenUsed/>
    <w:rsid w:val="00672230"/>
    <w:pPr>
      <w:ind w:left="0"/>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672230"/>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672230"/>
    <w:rPr>
      <w:vertAlign w:val="superscript"/>
    </w:rPr>
  </w:style>
  <w:style w:type="character" w:customStyle="1" w:styleId="apple-converted-space">
    <w:name w:val="apple-converted-space"/>
    <w:basedOn w:val="Fuentedeprrafopredeter"/>
    <w:rsid w:val="00297628"/>
  </w:style>
  <w:style w:type="table" w:styleId="Tablaconcuadrcula">
    <w:name w:val="Table Grid"/>
    <w:basedOn w:val="Tablanormal"/>
    <w:uiPriority w:val="59"/>
    <w:rsid w:val="001E6E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vistosa-nfasis1">
    <w:name w:val="Colorful Grid Accent 1"/>
    <w:basedOn w:val="Tablanormal"/>
    <w:uiPriority w:val="73"/>
    <w:rsid w:val="001E6E5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rrafodelista">
    <w:name w:val="List Paragraph"/>
    <w:basedOn w:val="Normal"/>
    <w:uiPriority w:val="34"/>
    <w:qFormat/>
    <w:rsid w:val="003A4BF2"/>
    <w:pPr>
      <w:ind w:left="720"/>
      <w:contextualSpacing/>
    </w:pPr>
  </w:style>
  <w:style w:type="character" w:styleId="Refdecomentario">
    <w:name w:val="annotation reference"/>
    <w:basedOn w:val="Fuentedeprrafopredeter"/>
    <w:uiPriority w:val="99"/>
    <w:semiHidden/>
    <w:unhideWhenUsed/>
    <w:rsid w:val="000E316F"/>
    <w:rPr>
      <w:sz w:val="16"/>
      <w:szCs w:val="16"/>
    </w:rPr>
  </w:style>
  <w:style w:type="paragraph" w:styleId="Textocomentario">
    <w:name w:val="annotation text"/>
    <w:basedOn w:val="Normal"/>
    <w:link w:val="TextocomentarioCar"/>
    <w:uiPriority w:val="99"/>
    <w:semiHidden/>
    <w:unhideWhenUsed/>
    <w:rsid w:val="000E316F"/>
    <w:pPr>
      <w:spacing w:after="200"/>
      <w:ind w:left="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0E316F"/>
    <w:rPr>
      <w:rFonts w:asciiTheme="minorHAnsi" w:eastAsiaTheme="minorHAnsi" w:hAnsiTheme="minorHAnsi" w:cstheme="minorBidi"/>
      <w:lang w:eastAsia="en-US"/>
    </w:rPr>
  </w:style>
  <w:style w:type="table" w:styleId="Sombreadomedio2">
    <w:name w:val="Medium Shading 2"/>
    <w:basedOn w:val="Tablanormal"/>
    <w:uiPriority w:val="64"/>
    <w:rsid w:val="00E7447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rsid w:val="00E7447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1620">
      <w:bodyDiv w:val="1"/>
      <w:marLeft w:val="0"/>
      <w:marRight w:val="0"/>
      <w:marTop w:val="0"/>
      <w:marBottom w:val="0"/>
      <w:divBdr>
        <w:top w:val="none" w:sz="0" w:space="0" w:color="auto"/>
        <w:left w:val="none" w:sz="0" w:space="0" w:color="auto"/>
        <w:bottom w:val="none" w:sz="0" w:space="0" w:color="auto"/>
        <w:right w:val="none" w:sz="0" w:space="0" w:color="auto"/>
      </w:divBdr>
    </w:div>
    <w:div w:id="188759436">
      <w:bodyDiv w:val="1"/>
      <w:marLeft w:val="0"/>
      <w:marRight w:val="0"/>
      <w:marTop w:val="0"/>
      <w:marBottom w:val="0"/>
      <w:divBdr>
        <w:top w:val="none" w:sz="0" w:space="0" w:color="auto"/>
        <w:left w:val="none" w:sz="0" w:space="0" w:color="auto"/>
        <w:bottom w:val="none" w:sz="0" w:space="0" w:color="auto"/>
        <w:right w:val="none" w:sz="0" w:space="0" w:color="auto"/>
      </w:divBdr>
      <w:divsChild>
        <w:div w:id="612060097">
          <w:marLeft w:val="0"/>
          <w:marRight w:val="0"/>
          <w:marTop w:val="0"/>
          <w:marBottom w:val="0"/>
          <w:divBdr>
            <w:top w:val="none" w:sz="0" w:space="0" w:color="auto"/>
            <w:left w:val="none" w:sz="0" w:space="0" w:color="auto"/>
            <w:bottom w:val="none" w:sz="0" w:space="0" w:color="auto"/>
            <w:right w:val="none" w:sz="0" w:space="0" w:color="auto"/>
          </w:divBdr>
          <w:divsChild>
            <w:div w:id="575094436">
              <w:marLeft w:val="0"/>
              <w:marRight w:val="0"/>
              <w:marTop w:val="0"/>
              <w:marBottom w:val="0"/>
              <w:divBdr>
                <w:top w:val="none" w:sz="0" w:space="0" w:color="auto"/>
                <w:left w:val="none" w:sz="0" w:space="0" w:color="auto"/>
                <w:bottom w:val="none" w:sz="0" w:space="0" w:color="auto"/>
                <w:right w:val="none" w:sz="0" w:space="0" w:color="auto"/>
              </w:divBdr>
            </w:div>
            <w:div w:id="603658912">
              <w:marLeft w:val="0"/>
              <w:marRight w:val="0"/>
              <w:marTop w:val="0"/>
              <w:marBottom w:val="0"/>
              <w:divBdr>
                <w:top w:val="none" w:sz="0" w:space="0" w:color="auto"/>
                <w:left w:val="none" w:sz="0" w:space="0" w:color="auto"/>
                <w:bottom w:val="none" w:sz="0" w:space="0" w:color="auto"/>
                <w:right w:val="none" w:sz="0" w:space="0" w:color="auto"/>
              </w:divBdr>
            </w:div>
            <w:div w:id="106047427">
              <w:marLeft w:val="0"/>
              <w:marRight w:val="0"/>
              <w:marTop w:val="0"/>
              <w:marBottom w:val="0"/>
              <w:divBdr>
                <w:top w:val="none" w:sz="0" w:space="0" w:color="auto"/>
                <w:left w:val="none" w:sz="0" w:space="0" w:color="auto"/>
                <w:bottom w:val="none" w:sz="0" w:space="0" w:color="auto"/>
                <w:right w:val="none" w:sz="0" w:space="0" w:color="auto"/>
              </w:divBdr>
            </w:div>
            <w:div w:id="1832520342">
              <w:marLeft w:val="0"/>
              <w:marRight w:val="0"/>
              <w:marTop w:val="0"/>
              <w:marBottom w:val="0"/>
              <w:divBdr>
                <w:top w:val="none" w:sz="0" w:space="0" w:color="auto"/>
                <w:left w:val="none" w:sz="0" w:space="0" w:color="auto"/>
                <w:bottom w:val="none" w:sz="0" w:space="0" w:color="auto"/>
                <w:right w:val="none" w:sz="0" w:space="0" w:color="auto"/>
              </w:divBdr>
            </w:div>
          </w:divsChild>
        </w:div>
        <w:div w:id="1890341037">
          <w:marLeft w:val="0"/>
          <w:marRight w:val="0"/>
          <w:marTop w:val="0"/>
          <w:marBottom w:val="0"/>
          <w:divBdr>
            <w:top w:val="none" w:sz="0" w:space="0" w:color="auto"/>
            <w:left w:val="none" w:sz="0" w:space="0" w:color="auto"/>
            <w:bottom w:val="none" w:sz="0" w:space="0" w:color="auto"/>
            <w:right w:val="none" w:sz="0" w:space="0" w:color="auto"/>
          </w:divBdr>
          <w:divsChild>
            <w:div w:id="951595443">
              <w:marLeft w:val="0"/>
              <w:marRight w:val="0"/>
              <w:marTop w:val="0"/>
              <w:marBottom w:val="0"/>
              <w:divBdr>
                <w:top w:val="none" w:sz="0" w:space="0" w:color="auto"/>
                <w:left w:val="none" w:sz="0" w:space="0" w:color="auto"/>
                <w:bottom w:val="none" w:sz="0" w:space="0" w:color="auto"/>
                <w:right w:val="none" w:sz="0" w:space="0" w:color="auto"/>
              </w:divBdr>
            </w:div>
            <w:div w:id="6809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6119">
      <w:bodyDiv w:val="1"/>
      <w:marLeft w:val="0"/>
      <w:marRight w:val="0"/>
      <w:marTop w:val="0"/>
      <w:marBottom w:val="0"/>
      <w:divBdr>
        <w:top w:val="none" w:sz="0" w:space="0" w:color="auto"/>
        <w:left w:val="none" w:sz="0" w:space="0" w:color="auto"/>
        <w:bottom w:val="none" w:sz="0" w:space="0" w:color="auto"/>
        <w:right w:val="none" w:sz="0" w:space="0" w:color="auto"/>
      </w:divBdr>
    </w:div>
    <w:div w:id="366638992">
      <w:bodyDiv w:val="1"/>
      <w:marLeft w:val="0"/>
      <w:marRight w:val="0"/>
      <w:marTop w:val="0"/>
      <w:marBottom w:val="0"/>
      <w:divBdr>
        <w:top w:val="none" w:sz="0" w:space="0" w:color="auto"/>
        <w:left w:val="none" w:sz="0" w:space="0" w:color="auto"/>
        <w:bottom w:val="none" w:sz="0" w:space="0" w:color="auto"/>
        <w:right w:val="none" w:sz="0" w:space="0" w:color="auto"/>
      </w:divBdr>
    </w:div>
    <w:div w:id="426461735">
      <w:bodyDiv w:val="1"/>
      <w:marLeft w:val="0"/>
      <w:marRight w:val="0"/>
      <w:marTop w:val="0"/>
      <w:marBottom w:val="0"/>
      <w:divBdr>
        <w:top w:val="none" w:sz="0" w:space="0" w:color="auto"/>
        <w:left w:val="none" w:sz="0" w:space="0" w:color="auto"/>
        <w:bottom w:val="none" w:sz="0" w:space="0" w:color="auto"/>
        <w:right w:val="none" w:sz="0" w:space="0" w:color="auto"/>
      </w:divBdr>
    </w:div>
    <w:div w:id="428083508">
      <w:bodyDiv w:val="1"/>
      <w:marLeft w:val="0"/>
      <w:marRight w:val="0"/>
      <w:marTop w:val="0"/>
      <w:marBottom w:val="0"/>
      <w:divBdr>
        <w:top w:val="none" w:sz="0" w:space="0" w:color="auto"/>
        <w:left w:val="none" w:sz="0" w:space="0" w:color="auto"/>
        <w:bottom w:val="none" w:sz="0" w:space="0" w:color="auto"/>
        <w:right w:val="none" w:sz="0" w:space="0" w:color="auto"/>
      </w:divBdr>
    </w:div>
    <w:div w:id="447042906">
      <w:bodyDiv w:val="1"/>
      <w:marLeft w:val="0"/>
      <w:marRight w:val="0"/>
      <w:marTop w:val="0"/>
      <w:marBottom w:val="0"/>
      <w:divBdr>
        <w:top w:val="none" w:sz="0" w:space="0" w:color="auto"/>
        <w:left w:val="none" w:sz="0" w:space="0" w:color="auto"/>
        <w:bottom w:val="none" w:sz="0" w:space="0" w:color="auto"/>
        <w:right w:val="none" w:sz="0" w:space="0" w:color="auto"/>
      </w:divBdr>
    </w:div>
    <w:div w:id="749811043">
      <w:bodyDiv w:val="1"/>
      <w:marLeft w:val="0"/>
      <w:marRight w:val="0"/>
      <w:marTop w:val="0"/>
      <w:marBottom w:val="0"/>
      <w:divBdr>
        <w:top w:val="none" w:sz="0" w:space="0" w:color="auto"/>
        <w:left w:val="none" w:sz="0" w:space="0" w:color="auto"/>
        <w:bottom w:val="none" w:sz="0" w:space="0" w:color="auto"/>
        <w:right w:val="none" w:sz="0" w:space="0" w:color="auto"/>
      </w:divBdr>
    </w:div>
    <w:div w:id="845244975">
      <w:bodyDiv w:val="1"/>
      <w:marLeft w:val="0"/>
      <w:marRight w:val="0"/>
      <w:marTop w:val="0"/>
      <w:marBottom w:val="0"/>
      <w:divBdr>
        <w:top w:val="none" w:sz="0" w:space="0" w:color="auto"/>
        <w:left w:val="none" w:sz="0" w:space="0" w:color="auto"/>
        <w:bottom w:val="none" w:sz="0" w:space="0" w:color="auto"/>
        <w:right w:val="none" w:sz="0" w:space="0" w:color="auto"/>
      </w:divBdr>
    </w:div>
    <w:div w:id="863178422">
      <w:bodyDiv w:val="1"/>
      <w:marLeft w:val="0"/>
      <w:marRight w:val="0"/>
      <w:marTop w:val="0"/>
      <w:marBottom w:val="0"/>
      <w:divBdr>
        <w:top w:val="none" w:sz="0" w:space="0" w:color="auto"/>
        <w:left w:val="none" w:sz="0" w:space="0" w:color="auto"/>
        <w:bottom w:val="none" w:sz="0" w:space="0" w:color="auto"/>
        <w:right w:val="none" w:sz="0" w:space="0" w:color="auto"/>
      </w:divBdr>
    </w:div>
    <w:div w:id="994718463">
      <w:bodyDiv w:val="1"/>
      <w:marLeft w:val="0"/>
      <w:marRight w:val="0"/>
      <w:marTop w:val="0"/>
      <w:marBottom w:val="0"/>
      <w:divBdr>
        <w:top w:val="none" w:sz="0" w:space="0" w:color="auto"/>
        <w:left w:val="none" w:sz="0" w:space="0" w:color="auto"/>
        <w:bottom w:val="none" w:sz="0" w:space="0" w:color="auto"/>
        <w:right w:val="none" w:sz="0" w:space="0" w:color="auto"/>
      </w:divBdr>
    </w:div>
    <w:div w:id="1253779407">
      <w:bodyDiv w:val="1"/>
      <w:marLeft w:val="0"/>
      <w:marRight w:val="0"/>
      <w:marTop w:val="0"/>
      <w:marBottom w:val="0"/>
      <w:divBdr>
        <w:top w:val="none" w:sz="0" w:space="0" w:color="auto"/>
        <w:left w:val="none" w:sz="0" w:space="0" w:color="auto"/>
        <w:bottom w:val="none" w:sz="0" w:space="0" w:color="auto"/>
        <w:right w:val="none" w:sz="0" w:space="0" w:color="auto"/>
      </w:divBdr>
    </w:div>
    <w:div w:id="1259605357">
      <w:bodyDiv w:val="1"/>
      <w:marLeft w:val="0"/>
      <w:marRight w:val="0"/>
      <w:marTop w:val="0"/>
      <w:marBottom w:val="0"/>
      <w:divBdr>
        <w:top w:val="none" w:sz="0" w:space="0" w:color="auto"/>
        <w:left w:val="none" w:sz="0" w:space="0" w:color="auto"/>
        <w:bottom w:val="none" w:sz="0" w:space="0" w:color="auto"/>
        <w:right w:val="none" w:sz="0" w:space="0" w:color="auto"/>
      </w:divBdr>
    </w:div>
    <w:div w:id="1327394227">
      <w:bodyDiv w:val="1"/>
      <w:marLeft w:val="0"/>
      <w:marRight w:val="0"/>
      <w:marTop w:val="0"/>
      <w:marBottom w:val="0"/>
      <w:divBdr>
        <w:top w:val="none" w:sz="0" w:space="0" w:color="auto"/>
        <w:left w:val="none" w:sz="0" w:space="0" w:color="auto"/>
        <w:bottom w:val="none" w:sz="0" w:space="0" w:color="auto"/>
        <w:right w:val="none" w:sz="0" w:space="0" w:color="auto"/>
      </w:divBdr>
    </w:div>
    <w:div w:id="1381704961">
      <w:bodyDiv w:val="1"/>
      <w:marLeft w:val="0"/>
      <w:marRight w:val="0"/>
      <w:marTop w:val="0"/>
      <w:marBottom w:val="0"/>
      <w:divBdr>
        <w:top w:val="none" w:sz="0" w:space="0" w:color="auto"/>
        <w:left w:val="none" w:sz="0" w:space="0" w:color="auto"/>
        <w:bottom w:val="none" w:sz="0" w:space="0" w:color="auto"/>
        <w:right w:val="none" w:sz="0" w:space="0" w:color="auto"/>
      </w:divBdr>
    </w:div>
    <w:div w:id="1393313863">
      <w:bodyDiv w:val="1"/>
      <w:marLeft w:val="0"/>
      <w:marRight w:val="0"/>
      <w:marTop w:val="0"/>
      <w:marBottom w:val="0"/>
      <w:divBdr>
        <w:top w:val="none" w:sz="0" w:space="0" w:color="auto"/>
        <w:left w:val="none" w:sz="0" w:space="0" w:color="auto"/>
        <w:bottom w:val="none" w:sz="0" w:space="0" w:color="auto"/>
        <w:right w:val="none" w:sz="0" w:space="0" w:color="auto"/>
      </w:divBdr>
    </w:div>
    <w:div w:id="1399982548">
      <w:bodyDiv w:val="1"/>
      <w:marLeft w:val="0"/>
      <w:marRight w:val="0"/>
      <w:marTop w:val="0"/>
      <w:marBottom w:val="0"/>
      <w:divBdr>
        <w:top w:val="none" w:sz="0" w:space="0" w:color="auto"/>
        <w:left w:val="none" w:sz="0" w:space="0" w:color="auto"/>
        <w:bottom w:val="none" w:sz="0" w:space="0" w:color="auto"/>
        <w:right w:val="none" w:sz="0" w:space="0" w:color="auto"/>
      </w:divBdr>
    </w:div>
    <w:div w:id="1429426297">
      <w:bodyDiv w:val="1"/>
      <w:marLeft w:val="0"/>
      <w:marRight w:val="0"/>
      <w:marTop w:val="0"/>
      <w:marBottom w:val="0"/>
      <w:divBdr>
        <w:top w:val="none" w:sz="0" w:space="0" w:color="auto"/>
        <w:left w:val="none" w:sz="0" w:space="0" w:color="auto"/>
        <w:bottom w:val="none" w:sz="0" w:space="0" w:color="auto"/>
        <w:right w:val="none" w:sz="0" w:space="0" w:color="auto"/>
      </w:divBdr>
    </w:div>
    <w:div w:id="1454904412">
      <w:bodyDiv w:val="1"/>
      <w:marLeft w:val="0"/>
      <w:marRight w:val="0"/>
      <w:marTop w:val="0"/>
      <w:marBottom w:val="0"/>
      <w:divBdr>
        <w:top w:val="none" w:sz="0" w:space="0" w:color="auto"/>
        <w:left w:val="none" w:sz="0" w:space="0" w:color="auto"/>
        <w:bottom w:val="none" w:sz="0" w:space="0" w:color="auto"/>
        <w:right w:val="none" w:sz="0" w:space="0" w:color="auto"/>
      </w:divBdr>
    </w:div>
    <w:div w:id="1487893711">
      <w:bodyDiv w:val="1"/>
      <w:marLeft w:val="0"/>
      <w:marRight w:val="0"/>
      <w:marTop w:val="0"/>
      <w:marBottom w:val="0"/>
      <w:divBdr>
        <w:top w:val="none" w:sz="0" w:space="0" w:color="auto"/>
        <w:left w:val="none" w:sz="0" w:space="0" w:color="auto"/>
        <w:bottom w:val="none" w:sz="0" w:space="0" w:color="auto"/>
        <w:right w:val="none" w:sz="0" w:space="0" w:color="auto"/>
      </w:divBdr>
    </w:div>
    <w:div w:id="1578905459">
      <w:bodyDiv w:val="1"/>
      <w:marLeft w:val="0"/>
      <w:marRight w:val="0"/>
      <w:marTop w:val="0"/>
      <w:marBottom w:val="0"/>
      <w:divBdr>
        <w:top w:val="none" w:sz="0" w:space="0" w:color="auto"/>
        <w:left w:val="none" w:sz="0" w:space="0" w:color="auto"/>
        <w:bottom w:val="none" w:sz="0" w:space="0" w:color="auto"/>
        <w:right w:val="none" w:sz="0" w:space="0" w:color="auto"/>
      </w:divBdr>
    </w:div>
    <w:div w:id="1582375003">
      <w:bodyDiv w:val="1"/>
      <w:marLeft w:val="0"/>
      <w:marRight w:val="0"/>
      <w:marTop w:val="0"/>
      <w:marBottom w:val="0"/>
      <w:divBdr>
        <w:top w:val="none" w:sz="0" w:space="0" w:color="auto"/>
        <w:left w:val="none" w:sz="0" w:space="0" w:color="auto"/>
        <w:bottom w:val="none" w:sz="0" w:space="0" w:color="auto"/>
        <w:right w:val="none" w:sz="0" w:space="0" w:color="auto"/>
      </w:divBdr>
    </w:div>
    <w:div w:id="1597012253">
      <w:bodyDiv w:val="1"/>
      <w:marLeft w:val="0"/>
      <w:marRight w:val="0"/>
      <w:marTop w:val="0"/>
      <w:marBottom w:val="0"/>
      <w:divBdr>
        <w:top w:val="none" w:sz="0" w:space="0" w:color="auto"/>
        <w:left w:val="none" w:sz="0" w:space="0" w:color="auto"/>
        <w:bottom w:val="none" w:sz="0" w:space="0" w:color="auto"/>
        <w:right w:val="none" w:sz="0" w:space="0" w:color="auto"/>
      </w:divBdr>
    </w:div>
    <w:div w:id="1629359369">
      <w:bodyDiv w:val="1"/>
      <w:marLeft w:val="0"/>
      <w:marRight w:val="0"/>
      <w:marTop w:val="0"/>
      <w:marBottom w:val="0"/>
      <w:divBdr>
        <w:top w:val="none" w:sz="0" w:space="0" w:color="auto"/>
        <w:left w:val="none" w:sz="0" w:space="0" w:color="auto"/>
        <w:bottom w:val="none" w:sz="0" w:space="0" w:color="auto"/>
        <w:right w:val="none" w:sz="0" w:space="0" w:color="auto"/>
      </w:divBdr>
    </w:div>
    <w:div w:id="1652172859">
      <w:bodyDiv w:val="1"/>
      <w:marLeft w:val="0"/>
      <w:marRight w:val="0"/>
      <w:marTop w:val="0"/>
      <w:marBottom w:val="0"/>
      <w:divBdr>
        <w:top w:val="none" w:sz="0" w:space="0" w:color="auto"/>
        <w:left w:val="none" w:sz="0" w:space="0" w:color="auto"/>
        <w:bottom w:val="none" w:sz="0" w:space="0" w:color="auto"/>
        <w:right w:val="none" w:sz="0" w:space="0" w:color="auto"/>
      </w:divBdr>
    </w:div>
    <w:div w:id="1671713097">
      <w:bodyDiv w:val="1"/>
      <w:marLeft w:val="0"/>
      <w:marRight w:val="0"/>
      <w:marTop w:val="0"/>
      <w:marBottom w:val="0"/>
      <w:divBdr>
        <w:top w:val="none" w:sz="0" w:space="0" w:color="auto"/>
        <w:left w:val="none" w:sz="0" w:space="0" w:color="auto"/>
        <w:bottom w:val="none" w:sz="0" w:space="0" w:color="auto"/>
        <w:right w:val="none" w:sz="0" w:space="0" w:color="auto"/>
      </w:divBdr>
    </w:div>
    <w:div w:id="1827280360">
      <w:bodyDiv w:val="1"/>
      <w:marLeft w:val="0"/>
      <w:marRight w:val="0"/>
      <w:marTop w:val="0"/>
      <w:marBottom w:val="0"/>
      <w:divBdr>
        <w:top w:val="none" w:sz="0" w:space="0" w:color="auto"/>
        <w:left w:val="none" w:sz="0" w:space="0" w:color="auto"/>
        <w:bottom w:val="none" w:sz="0" w:space="0" w:color="auto"/>
        <w:right w:val="none" w:sz="0" w:space="0" w:color="auto"/>
      </w:divBdr>
    </w:div>
    <w:div w:id="1850022660">
      <w:bodyDiv w:val="1"/>
      <w:marLeft w:val="0"/>
      <w:marRight w:val="0"/>
      <w:marTop w:val="0"/>
      <w:marBottom w:val="0"/>
      <w:divBdr>
        <w:top w:val="none" w:sz="0" w:space="0" w:color="auto"/>
        <w:left w:val="none" w:sz="0" w:space="0" w:color="auto"/>
        <w:bottom w:val="none" w:sz="0" w:space="0" w:color="auto"/>
        <w:right w:val="none" w:sz="0" w:space="0" w:color="auto"/>
      </w:divBdr>
    </w:div>
    <w:div w:id="1920360440">
      <w:bodyDiv w:val="1"/>
      <w:marLeft w:val="0"/>
      <w:marRight w:val="0"/>
      <w:marTop w:val="0"/>
      <w:marBottom w:val="0"/>
      <w:divBdr>
        <w:top w:val="none" w:sz="0" w:space="0" w:color="auto"/>
        <w:left w:val="none" w:sz="0" w:space="0" w:color="auto"/>
        <w:bottom w:val="none" w:sz="0" w:space="0" w:color="auto"/>
        <w:right w:val="none" w:sz="0" w:space="0" w:color="auto"/>
      </w:divBdr>
    </w:div>
    <w:div w:id="1960795350">
      <w:bodyDiv w:val="1"/>
      <w:marLeft w:val="0"/>
      <w:marRight w:val="0"/>
      <w:marTop w:val="0"/>
      <w:marBottom w:val="0"/>
      <w:divBdr>
        <w:top w:val="none" w:sz="0" w:space="0" w:color="auto"/>
        <w:left w:val="none" w:sz="0" w:space="0" w:color="auto"/>
        <w:bottom w:val="none" w:sz="0" w:space="0" w:color="auto"/>
        <w:right w:val="none" w:sz="0" w:space="0" w:color="auto"/>
      </w:divBdr>
    </w:div>
    <w:div w:id="1966083956">
      <w:bodyDiv w:val="1"/>
      <w:marLeft w:val="0"/>
      <w:marRight w:val="0"/>
      <w:marTop w:val="0"/>
      <w:marBottom w:val="0"/>
      <w:divBdr>
        <w:top w:val="none" w:sz="0" w:space="0" w:color="auto"/>
        <w:left w:val="none" w:sz="0" w:space="0" w:color="auto"/>
        <w:bottom w:val="none" w:sz="0" w:space="0" w:color="auto"/>
        <w:right w:val="none" w:sz="0" w:space="0" w:color="auto"/>
      </w:divBdr>
    </w:div>
    <w:div w:id="1992708199">
      <w:bodyDiv w:val="1"/>
      <w:marLeft w:val="0"/>
      <w:marRight w:val="0"/>
      <w:marTop w:val="0"/>
      <w:marBottom w:val="0"/>
      <w:divBdr>
        <w:top w:val="none" w:sz="0" w:space="0" w:color="auto"/>
        <w:left w:val="none" w:sz="0" w:space="0" w:color="auto"/>
        <w:bottom w:val="none" w:sz="0" w:space="0" w:color="auto"/>
        <w:right w:val="none" w:sz="0" w:space="0" w:color="auto"/>
      </w:divBdr>
    </w:div>
    <w:div w:id="2014138353">
      <w:bodyDiv w:val="1"/>
      <w:marLeft w:val="0"/>
      <w:marRight w:val="0"/>
      <w:marTop w:val="0"/>
      <w:marBottom w:val="0"/>
      <w:divBdr>
        <w:top w:val="none" w:sz="0" w:space="0" w:color="auto"/>
        <w:left w:val="none" w:sz="0" w:space="0" w:color="auto"/>
        <w:bottom w:val="none" w:sz="0" w:space="0" w:color="auto"/>
        <w:right w:val="none" w:sz="0" w:space="0" w:color="auto"/>
      </w:divBdr>
    </w:div>
    <w:div w:id="21310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tadistica.cba.gov.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ar&#237;a%20Laura%20M\Backup%20Laura%2016122010\Mar&#237;a%20Laura\OFICIOS%20JUDICIALES\membrete%202016%20color%20desde%2020%20de%20octubre%2020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3C056-612C-45ED-94C7-A6656293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2016 color desde 20 de octubre 2016.dot</Template>
  <TotalTime>1</TotalTime>
  <Pages>2</Pages>
  <Words>555</Words>
  <Characters>3055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Gobierno de Cordoba</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Laura Martorella</dc:creator>
  <cp:lastModifiedBy>Laura Isabel Luna</cp:lastModifiedBy>
  <cp:revision>3</cp:revision>
  <cp:lastPrinted>2016-03-04T12:30:00Z</cp:lastPrinted>
  <dcterms:created xsi:type="dcterms:W3CDTF">2018-08-14T16:23:00Z</dcterms:created>
  <dcterms:modified xsi:type="dcterms:W3CDTF">2018-08-14T16:25:00Z</dcterms:modified>
</cp:coreProperties>
</file>